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安泽县人民政府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2022年法治政府建设情况报告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2022年，在市委、市政府、县委的坚强领导下，安泽县坚持以习近平新时代中国特色社会主义思想为指导，深入学习贯彻党的二十大精神和习近平法治思想，按照省、市、县关于法治政府建设的统一部署，着力培养树牢法治思维，全方位提高依法行政水平，高质量推进法治政府建设，全面依法治县工作取得新成效、实现新发展，现将2022年度法治政府建设工作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一、2022年度推进法治政府建设的主要举措和成效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jc w:val="both"/>
        <w:textAlignment w:val="auto"/>
        <w:outlineLvl w:val="9"/>
        <w:rPr>
          <w:rFonts w:hint="eastAsia" w:ascii="仿宋" w:hAnsi="仿宋" w:eastAsia="仿宋" w:cs="仿宋"/>
          <w:color w:val="auto"/>
          <w:spacing w:val="8"/>
          <w:sz w:val="32"/>
          <w:szCs w:val="32"/>
          <w:highlight w:val="none"/>
          <w:lang w:val="en-US" w:eastAsia="zh-CN"/>
        </w:rPr>
      </w:pPr>
      <w:r>
        <w:rPr>
          <w:rFonts w:hint="eastAsia" w:ascii="楷体" w:hAnsi="楷体" w:eastAsia="楷体" w:cs="楷体"/>
          <w:b/>
          <w:bCs/>
          <w:color w:val="auto"/>
          <w:sz w:val="32"/>
          <w:szCs w:val="32"/>
          <w:highlight w:val="none"/>
          <w:lang w:val="en-US" w:eastAsia="zh-CN"/>
        </w:rPr>
        <w:t>（一）深化行政执法规范化建设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1.组建执法队伍。</w:t>
      </w:r>
      <w:r>
        <w:rPr>
          <w:rFonts w:hint="eastAsia" w:ascii="仿宋" w:hAnsi="仿宋" w:eastAsia="仿宋" w:cs="仿宋"/>
          <w:color w:val="auto"/>
          <w:sz w:val="32"/>
          <w:szCs w:val="32"/>
          <w:highlight w:val="none"/>
          <w:lang w:val="en-US" w:eastAsia="zh-CN"/>
        </w:rPr>
        <w:t>县直成立9支综合行政执法队，每个乡镇成立1支综合行政执法队，共成立6支乡镇综合行政执法队，开展执法工作。组织各镇人员参加全省公共法律知识考试，2022年共有48人参加了新申领执法证公共法律知识考试，通过考试人员为42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2.理顺派驻体制。</w:t>
      </w:r>
      <w:r>
        <w:rPr>
          <w:rFonts w:hint="eastAsia" w:ascii="仿宋" w:hAnsi="仿宋" w:eastAsia="仿宋" w:cs="仿宋"/>
          <w:color w:val="auto"/>
          <w:sz w:val="32"/>
          <w:szCs w:val="32"/>
          <w:highlight w:val="none"/>
          <w:lang w:val="en-US" w:eastAsia="zh-CN"/>
        </w:rPr>
        <w:t>各镇派驻机构有两个，分别为司法所和派出所。依据我县实际，中共安泽县委办公室、安泽县人民政府办公室印发了《安泽县府城镇职能配置 内设机构和人员编制规定》等文件的通知，其中共有附件26个，规定通篇共八条，介绍了规定出台背景，明确各镇职责，厘清了县镇关系，明确了党政机构设置、事业单位设置，核定编制情况。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val="0"/>
          <w:bCs w:val="0"/>
          <w:i w:val="0"/>
          <w:iCs w:val="0"/>
          <w:color w:val="auto"/>
          <w:kern w:val="2"/>
          <w:sz w:val="32"/>
          <w:szCs w:val="32"/>
          <w:highlight w:val="none"/>
          <w:lang w:val="en-US" w:eastAsia="zh-CN" w:bidi="ar-SA"/>
        </w:rPr>
      </w:pPr>
      <w:r>
        <w:rPr>
          <w:rFonts w:hint="eastAsia" w:ascii="仿宋" w:hAnsi="仿宋" w:eastAsia="仿宋" w:cs="仿宋"/>
          <w:b/>
          <w:bCs/>
          <w:color w:val="auto"/>
          <w:sz w:val="32"/>
          <w:szCs w:val="32"/>
          <w:highlight w:val="none"/>
          <w:lang w:val="en-US" w:eastAsia="zh-CN"/>
        </w:rPr>
        <w:t>3.梳理行政执法事项清单。</w:t>
      </w:r>
      <w:r>
        <w:rPr>
          <w:rFonts w:hint="eastAsia" w:ascii="仿宋" w:hAnsi="仿宋" w:eastAsia="仿宋" w:cs="仿宋"/>
          <w:color w:val="auto"/>
          <w:sz w:val="32"/>
          <w:szCs w:val="32"/>
          <w:highlight w:val="none"/>
          <w:lang w:val="en-US" w:eastAsia="zh-CN"/>
        </w:rPr>
        <w:t>组织专业人员，结合我县县情实际，推行执法事项清单化，</w:t>
      </w:r>
      <w:r>
        <w:rPr>
          <w:rFonts w:hint="eastAsia" w:ascii="仿宋" w:hAnsi="仿宋" w:eastAsia="仿宋" w:cs="仿宋"/>
          <w:b w:val="0"/>
          <w:bCs w:val="0"/>
          <w:i w:val="0"/>
          <w:iCs w:val="0"/>
          <w:color w:val="auto"/>
          <w:kern w:val="2"/>
          <w:sz w:val="32"/>
          <w:szCs w:val="32"/>
          <w:highlight w:val="none"/>
          <w:lang w:val="en-US" w:eastAsia="zh-CN" w:bidi="ar-SA"/>
        </w:rPr>
        <w:t>调整后确定乡镇执法清单共计82项，包括乡镇应该承担的法定执法事项27项，赋权乡镇执法事项55项</w:t>
      </w:r>
      <w:r>
        <w:rPr>
          <w:rFonts w:hint="eastAsia" w:ascii="仿宋" w:hAnsi="仿宋" w:eastAsia="仿宋" w:cs="仿宋"/>
          <w:color w:val="auto"/>
          <w:sz w:val="32"/>
          <w:szCs w:val="32"/>
          <w:highlight w:val="none"/>
          <w:lang w:val="en-US" w:eastAsia="zh-CN"/>
        </w:rPr>
        <w:t>。建立了《安泽县“属地管理”事项主体责任和配合责任清单动态管理办法》《安泽县乡镇权责清单动态管理制度》《安泽县乡镇权责清单外事项准入制度》《行政执法过错责任追究》《行政执法公示、行政执法全过程记录、重大行政执法决定法制审核制度》《行政执法评议考核制度》《行政执法案卷评查制度》等制度，制定乡镇行政执法文书、行政执法流程图等行政执法指引，完善执法程序，加强权责清单管理，规范和优化行政职权运行，促进法治政府、创新政府、廉洁政府和服务型政府建设。</w:t>
      </w:r>
      <w:r>
        <w:rPr>
          <w:rFonts w:hint="eastAsia" w:ascii="仿宋" w:hAnsi="仿宋" w:eastAsia="仿宋" w:cs="仿宋"/>
          <w:b w:val="0"/>
          <w:bCs w:val="0"/>
          <w:i w:val="0"/>
          <w:iCs w:val="0"/>
          <w:color w:val="auto"/>
          <w:kern w:val="2"/>
          <w:sz w:val="32"/>
          <w:szCs w:val="32"/>
          <w:highlight w:val="none"/>
          <w:lang w:val="en-US" w:eastAsia="zh-CN" w:bidi="ar-SA"/>
        </w:rPr>
        <w:t>以抓党建促基层治理能力提升专项行动为契机，对乡镇执法事项清单进行调整，完善流程图、廉政风险防控图，健全完善乡镇执法事项清单动态调整制度和乡镇执法清单外事项准入制度。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 w:hAnsi="仿宋" w:eastAsia="仿宋" w:cs="仿宋"/>
          <w:b w:val="0"/>
          <w:bCs w:val="0"/>
          <w:i w:val="0"/>
          <w:iCs w:val="0"/>
          <w:color w:val="auto"/>
          <w:kern w:val="2"/>
          <w:sz w:val="32"/>
          <w:szCs w:val="32"/>
          <w:highlight w:val="none"/>
          <w:lang w:val="en-US" w:eastAsia="zh-CN" w:bidi="ar-SA"/>
        </w:rPr>
      </w:pPr>
      <w:r>
        <w:rPr>
          <w:rFonts w:hint="eastAsia" w:ascii="仿宋" w:hAnsi="仿宋" w:eastAsia="仿宋" w:cs="仿宋"/>
          <w:b/>
          <w:bCs/>
          <w:color w:val="000000" w:themeColor="text1"/>
          <w:sz w:val="32"/>
          <w:szCs w:val="32"/>
          <w:lang w:val="en-US" w:eastAsia="zh-CN"/>
          <w14:textFill>
            <w14:solidFill>
              <w14:schemeClr w14:val="tx1"/>
            </w14:solidFill>
          </w14:textFill>
        </w:rPr>
        <w:t>4.确保“互联网+”有序推进。</w:t>
      </w:r>
      <w:r>
        <w:rPr>
          <w:rFonts w:hint="eastAsia" w:ascii="仿宋_GB2312" w:hAnsi="仿宋_GB2312" w:eastAsia="仿宋_GB2312" w:cs="仿宋_GB2312"/>
          <w:i w:val="0"/>
          <w:caps w:val="0"/>
          <w:color w:val="auto"/>
          <w:spacing w:val="0"/>
          <w:sz w:val="32"/>
          <w:szCs w:val="32"/>
          <w:lang w:val="en-US" w:eastAsia="zh-CN"/>
        </w:rPr>
        <w:t>一是有序推进“互联网+监管”录入工作。2022年我县数据覆盖度75.22%，监管行为报送数49697条，监管业务数据报送数48839条，“双随机一公开”报送数39条，监管对象报送数780条，执法人员报送数39条，目录清单认领率100%，检查清单完善率100%。二是扎实开展“四级四同”事项录入工作。切实推动我县同一事项名称、编码、依据、类型等基本要素，在国家、省、市、县四级统一。2022年“</w:t>
      </w:r>
      <w:r>
        <w:rPr>
          <w:rFonts w:hint="eastAsia" w:ascii="仿宋_GB2312" w:hAnsi="仿宋_GB2312" w:eastAsia="仿宋_GB2312" w:cs="仿宋_GB2312"/>
          <w:i w:val="0"/>
          <w:caps w:val="0"/>
          <w:color w:val="auto"/>
          <w:spacing w:val="0"/>
          <w:sz w:val="32"/>
          <w:szCs w:val="32"/>
          <w:shd w:val="clear" w:color="auto" w:fill="FFFFFF"/>
          <w:lang w:val="en-US" w:eastAsia="zh-CN"/>
        </w:rPr>
        <w:t>四级四同”同步国办事项604条。</w:t>
      </w:r>
      <w:r>
        <w:rPr>
          <w:rFonts w:hint="eastAsia" w:ascii="仿宋" w:hAnsi="仿宋" w:eastAsia="仿宋" w:cs="仿宋"/>
          <w:b w:val="0"/>
          <w:bCs w:val="0"/>
          <w:color w:val="000000" w:themeColor="text1"/>
          <w:sz w:val="32"/>
          <w:szCs w:val="32"/>
          <w:lang w:val="en-US" w:eastAsia="zh-CN"/>
          <w14:textFill>
            <w14:solidFill>
              <w14:schemeClr w14:val="tx1"/>
            </w14:solidFill>
          </w14:textFill>
        </w:rPr>
        <w:t>三是强化“双公示”信息推送。我县认真</w:t>
      </w:r>
      <w:r>
        <w:rPr>
          <w:rFonts w:hint="eastAsia" w:ascii="仿宋" w:hAnsi="仿宋" w:eastAsia="仿宋" w:cs="仿宋"/>
          <w:color w:val="000000" w:themeColor="text1"/>
          <w:sz w:val="32"/>
          <w:szCs w:val="32"/>
          <w:lang w:val="en-US" w:eastAsia="zh-CN"/>
          <w14:textFill>
            <w14:solidFill>
              <w14:schemeClr w14:val="tx1"/>
            </w14:solidFill>
          </w14:textFill>
        </w:rPr>
        <w:t>对照权责清单，严格按照行政权力自作出行政决定之日起7个工作日内上网公示的要求完成上报。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（二）强化执法人员正规化建设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 w:hAnsi="仿宋" w:eastAsia="仿宋_GB2312"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1.加强执法人员培训。</w:t>
      </w:r>
      <w:r>
        <w:rPr>
          <w:rFonts w:hint="eastAsia" w:ascii="仿宋" w:hAnsi="仿宋" w:eastAsia="仿宋" w:cs="仿宋"/>
          <w:b w:val="0"/>
          <w:bCs w:val="0"/>
          <w:color w:val="auto"/>
          <w:sz w:val="32"/>
          <w:szCs w:val="32"/>
          <w:highlight w:val="none"/>
          <w:lang w:val="en-US" w:eastAsia="zh-CN"/>
        </w:rPr>
        <w:t>制定了《安泽县乡镇综合执法人员岗位培训方案》（安司发〔2022〕18号），明确培训内容、培训对象、培训方式、培训要求，提升行政执法人员</w:t>
      </w:r>
      <w:r>
        <w:rPr>
          <w:rFonts w:hint="eastAsia" w:ascii="仿宋_GB2312" w:hAnsi="仿宋_GB2312" w:eastAsia="仿宋_GB2312" w:cs="仿宋_GB2312"/>
          <w:color w:val="auto"/>
          <w:kern w:val="0"/>
          <w:sz w:val="32"/>
          <w:szCs w:val="32"/>
          <w:highlight w:val="none"/>
          <w:lang w:val="zh-CN"/>
        </w:rPr>
        <w:t>思想政治素质，业务工作能力，职业道德水准</w:t>
      </w:r>
      <w:r>
        <w:rPr>
          <w:rFonts w:hint="eastAsia" w:ascii="仿宋_GB2312" w:hAnsi="仿宋_GB2312" w:eastAsia="仿宋_GB2312" w:cs="仿宋_GB2312"/>
          <w:color w:val="auto"/>
          <w:kern w:val="0"/>
          <w:sz w:val="32"/>
          <w:szCs w:val="32"/>
          <w:highlight w:val="none"/>
          <w:lang w:val="en-US" w:eastAsia="zh-CN"/>
        </w:rPr>
        <w:t>等。对各镇行政执法人员进行</w:t>
      </w:r>
      <w:r>
        <w:rPr>
          <w:rFonts w:hint="eastAsia" w:ascii="仿宋_GB2312" w:hAnsi="仿宋_GB2312" w:eastAsia="仿宋_GB2312" w:cs="仿宋_GB2312"/>
          <w:b w:val="0"/>
          <w:bCs w:val="0"/>
          <w:color w:val="auto"/>
          <w:kern w:val="0"/>
          <w:sz w:val="32"/>
          <w:szCs w:val="32"/>
          <w:highlight w:val="none"/>
          <w:lang w:val="en-US" w:eastAsia="zh-CN"/>
        </w:rPr>
        <w:t>执法资格考试专项培训，</w:t>
      </w:r>
      <w:r>
        <w:rPr>
          <w:rFonts w:hint="eastAsia" w:ascii="仿宋_GB2312" w:hAnsi="仿宋_GB2312" w:eastAsia="仿宋_GB2312" w:cs="仿宋_GB2312"/>
          <w:color w:val="auto"/>
          <w:kern w:val="0"/>
          <w:sz w:val="32"/>
          <w:szCs w:val="32"/>
          <w:highlight w:val="none"/>
          <w:lang w:val="en-US" w:eastAsia="zh-CN"/>
        </w:rPr>
        <w:t>并借助</w:t>
      </w:r>
      <w:r>
        <w:rPr>
          <w:rFonts w:hint="eastAsia" w:ascii="仿宋_GB2312" w:hAnsi="仿宋_GB2312" w:eastAsia="仿宋_GB2312" w:cs="仿宋_GB2312"/>
          <w:b w:val="0"/>
          <w:bCs w:val="0"/>
          <w:color w:val="auto"/>
          <w:kern w:val="0"/>
          <w:sz w:val="32"/>
          <w:szCs w:val="32"/>
          <w:highlight w:val="none"/>
          <w:lang w:val="en-US" w:eastAsia="zh-CN"/>
        </w:rPr>
        <w:t>山西省司法厅组织的“行政执法大讲堂”线上培训，线上线下相结合，提升行政执法人员专业能力。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2.开展集中培训暨岗位练兵活动。</w:t>
      </w:r>
      <w:r>
        <w:rPr>
          <w:rFonts w:hint="eastAsia" w:ascii="仿宋" w:hAnsi="仿宋" w:eastAsia="仿宋" w:cs="仿宋"/>
          <w:color w:val="auto"/>
          <w:sz w:val="32"/>
          <w:szCs w:val="32"/>
          <w:highlight w:val="none"/>
          <w:lang w:val="en-US" w:eastAsia="zh-CN"/>
        </w:rPr>
        <w:t>2022年7月，安泽县在全市率先</w:t>
      </w:r>
      <w:r>
        <w:rPr>
          <w:rFonts w:hint="eastAsia" w:ascii="仿宋" w:hAnsi="仿宋" w:eastAsia="仿宋" w:cs="仿宋"/>
          <w:color w:val="auto"/>
          <w:sz w:val="32"/>
          <w:szCs w:val="32"/>
          <w:highlight w:val="none"/>
        </w:rPr>
        <w:t>开展了各镇综合行政执法集中培训暨岗位练兵活动，以讲小课，讲干货，讲精品，讲实操，重实用，求实效为立足点，</w:t>
      </w:r>
      <w:r>
        <w:rPr>
          <w:rFonts w:hint="eastAsia" w:ascii="仿宋" w:hAnsi="仿宋" w:eastAsia="仿宋" w:cs="仿宋"/>
          <w:color w:val="auto"/>
          <w:sz w:val="32"/>
          <w:szCs w:val="32"/>
          <w:highlight w:val="none"/>
          <w:lang w:val="en-US" w:eastAsia="zh-CN"/>
        </w:rPr>
        <w:t>对县直十个执法单位进行培训，</w:t>
      </w:r>
      <w:r>
        <w:rPr>
          <w:rFonts w:hint="eastAsia" w:ascii="仿宋" w:hAnsi="仿宋" w:eastAsia="仿宋" w:cs="仿宋"/>
          <w:color w:val="auto"/>
          <w:sz w:val="32"/>
          <w:szCs w:val="32"/>
          <w:highlight w:val="none"/>
        </w:rPr>
        <w:t>规范执法行为、提升执法水平。</w:t>
      </w:r>
      <w:r>
        <w:rPr>
          <w:rFonts w:hint="eastAsia" w:ascii="仿宋" w:hAnsi="仿宋" w:eastAsia="仿宋" w:cs="仿宋"/>
          <w:color w:val="auto"/>
          <w:sz w:val="32"/>
          <w:szCs w:val="32"/>
          <w:highlight w:val="none"/>
          <w:lang w:val="en-US" w:eastAsia="zh-CN"/>
        </w:rPr>
        <w:t>在府城镇</w:t>
      </w:r>
      <w:r>
        <w:rPr>
          <w:rFonts w:hint="eastAsia" w:ascii="仿宋" w:hAnsi="仿宋" w:eastAsia="仿宋" w:cs="仿宋"/>
          <w:color w:val="auto"/>
          <w:sz w:val="32"/>
          <w:szCs w:val="32"/>
          <w:highlight w:val="none"/>
        </w:rPr>
        <w:t>开展岗位练兵，通过集中执法、联合执法，提高执法办案实务技能，进一步加强各镇执法工作与县直执法部门的协调融合、理顺执法流程。通过培训练兵，将理论实践相结合，助推理论成果转化为实践，融会贯通，保障培训取得实效。全县六个镇共60余名综合行政执法人员参加了培训。</w:t>
      </w:r>
      <w:r>
        <w:rPr>
          <w:rFonts w:hint="eastAsia" w:ascii="仿宋_GB2312" w:hAnsi="仿宋_GB2312" w:eastAsia="仿宋_GB2312" w:cs="仿宋_GB2312"/>
          <w:color w:val="auto"/>
          <w:sz w:val="32"/>
          <w:szCs w:val="32"/>
          <w:highlight w:val="none"/>
          <w:lang w:val="en-US" w:eastAsia="zh-CN"/>
        </w:rPr>
        <w:t xml:space="preserve">   </w:t>
      </w:r>
    </w:p>
    <w:p>
      <w:pPr>
        <w:pStyle w:val="2"/>
        <w:keepNext w:val="0"/>
        <w:keepLines w:val="0"/>
        <w:pageBreakBefore w:val="0"/>
        <w:widowControl w:val="0"/>
        <w:numPr>
          <w:ilvl w:val="1"/>
          <w:numId w:val="0"/>
        </w:numPr>
        <w:kinsoku/>
        <w:wordWrap/>
        <w:overflowPunct/>
        <w:topLinePunct w:val="0"/>
        <w:autoSpaceDE/>
        <w:autoSpaceDN/>
        <w:bidi w:val="0"/>
        <w:adjustRightInd/>
        <w:snapToGrid/>
        <w:spacing w:beforeLines="0" w:line="58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（三）健全政府决策专业化建设</w:t>
      </w:r>
    </w:p>
    <w:p>
      <w:pPr>
        <w:pStyle w:val="2"/>
        <w:keepNext w:val="0"/>
        <w:keepLines w:val="0"/>
        <w:pageBreakBefore w:val="0"/>
        <w:widowControl w:val="0"/>
        <w:numPr>
          <w:ilvl w:val="1"/>
          <w:numId w:val="0"/>
        </w:numPr>
        <w:kinsoku/>
        <w:wordWrap/>
        <w:overflowPunct/>
        <w:topLinePunct w:val="0"/>
        <w:autoSpaceDE/>
        <w:autoSpaceDN/>
        <w:bidi w:val="0"/>
        <w:adjustRightInd/>
        <w:snapToGrid/>
        <w:spacing w:beforeLines="0" w:line="58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1.开展规范性文件审查工作。</w:t>
      </w:r>
      <w:r>
        <w:rPr>
          <w:rFonts w:hint="eastAsia" w:ascii="仿宋_GB2312" w:hAnsi="仿宋_GB2312" w:eastAsia="仿宋_GB2312" w:cs="仿宋_GB2312"/>
          <w:color w:val="auto"/>
          <w:sz w:val="32"/>
          <w:szCs w:val="32"/>
          <w:highlight w:val="none"/>
          <w:lang w:val="en-US" w:eastAsia="zh-CN"/>
        </w:rPr>
        <w:t>对政府重大决策和规范性文件的出台全部进行合法性审查，发挥法律顾问、公职律师的作用，提供专业法律意见，把好“法律关”。2022年共审查规范性文件和合同39件。组织编制了《安泽县法治政府建设“十四五”规划》，将法治政府建设纳入年终考核。认真梳理确认行政执法主体、县直单位执法事项清单，《乡镇执法事项清单》（试行），厘清了执法边界和责任关系，实现了行政执法权限和力量下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2.完成行政复议改革任务。</w:t>
      </w:r>
      <w:r>
        <w:rPr>
          <w:rFonts w:hint="eastAsia" w:ascii="仿宋_GB2312" w:hAnsi="仿宋_GB2312" w:eastAsia="仿宋_GB2312" w:cs="仿宋_GB2312"/>
          <w:color w:val="auto"/>
          <w:sz w:val="32"/>
          <w:szCs w:val="32"/>
          <w:highlight w:val="none"/>
          <w:lang w:val="en-US" w:eastAsia="zh-CN"/>
        </w:rPr>
        <w:t>贯彻落实《行政</w:t>
      </w:r>
      <w:r>
        <w:rPr>
          <w:color w:val="auto"/>
          <w:sz w:val="32"/>
          <w:szCs w:val="22"/>
          <w:highlight w:val="none"/>
        </w:rPr>
        <mc:AlternateContent>
          <mc:Choice Requires="wps">
            <w:drawing>
              <wp:anchor distT="0" distB="0" distL="114300" distR="114300" simplePos="0" relativeHeight="251659264" behindDoc="0" locked="0" layoutInCell="1" allowOverlap="1">
                <wp:simplePos x="0" y="0"/>
                <wp:positionH relativeFrom="column">
                  <wp:posOffset>5292725</wp:posOffset>
                </wp:positionH>
                <wp:positionV relativeFrom="paragraph">
                  <wp:posOffset>-899160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rPr>
                                <w:rFonts w:hint="eastAsia" w:eastAsia="宋体"/>
                                <w:b/>
                                <w:bCs/>
                                <w:color w:val="000000"/>
                                <w:sz w:val="72"/>
                                <w:szCs w:val="72"/>
                                <w:lang w:eastAsia="zh-CN"/>
                              </w:rPr>
                            </w:pP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416.75pt;margin-top:-70.8pt;height:144pt;width:144pt;mso-wrap-style:none;z-index:251659264;mso-width-relative:page;mso-height-relative:page;" filled="f" stroked="f" coordsize="21600,21600" o:gfxdata="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EBEWXaAAAADQEAAA8AAAAAAAAAAQAgAAAAIgAAAGRy&#10;cy9kb3ducmV2LnhtbFBLAQIUABQAAAAIAIdO4kAIWwiTPAIAAHMEAAAOAAAAAAAAAAEAIAAAACkB&#10;AABkcnMvZTJvRG9jLnhtbFBLBQYAAAAABgAGAFkBAADXBQAAAAA=&#10;">
                <v:fill on="f" focussize="0,0"/>
                <v:stroke on="f" weight="0.5pt"/>
                <v:imagedata o:title=""/>
                <o:lock v:ext="edit" aspectratio="f"/>
                <v:textbox style="mso-fit-shape-to-text:t;">
                  <w:txbxContent>
                    <w:p>
                      <w:pPr>
                        <w:rPr>
                          <w:rFonts w:hint="eastAsia" w:eastAsia="宋体"/>
                          <w:b/>
                          <w:bCs/>
                          <w:color w:val="000000"/>
                          <w:sz w:val="72"/>
                          <w:szCs w:val="72"/>
                          <w:lang w:eastAsia="zh-CN"/>
                        </w:rPr>
                      </w:pPr>
                    </w:p>
                  </w:txbxContent>
                </v:textbox>
              </v:shape>
            </w:pict>
          </mc:Fallback>
        </mc:AlternateContent>
      </w:r>
      <w:r>
        <w:rPr>
          <w:rFonts w:hint="eastAsia" w:ascii="仿宋_GB2312" w:hAnsi="仿宋_GB2312" w:eastAsia="仿宋_GB2312" w:cs="仿宋_GB2312"/>
          <w:color w:val="auto"/>
          <w:sz w:val="32"/>
          <w:szCs w:val="32"/>
          <w:highlight w:val="none"/>
          <w:lang w:val="en-US" w:eastAsia="zh-CN"/>
        </w:rPr>
        <w:t xml:space="preserve">复议法》和《中华人民共和国行政复议法实施条例》，在全市率先完成了行政复议改革任务，受到临汾市政府通报表扬。2022年共办理行政复议案件5件，行政应诉案件23件。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楷体" w:hAnsi="楷体" w:eastAsia="楷体" w:cs="楷体"/>
          <w:b/>
          <w:bCs/>
          <w:color w:val="auto"/>
          <w:sz w:val="32"/>
          <w:szCs w:val="32"/>
          <w:highlight w:val="none"/>
          <w:lang w:val="en-US" w:eastAsia="zh-CN"/>
        </w:rPr>
      </w:pPr>
      <w:r>
        <w:rPr>
          <w:rFonts w:hint="eastAsia" w:ascii="楷体" w:hAnsi="楷体" w:eastAsia="楷体" w:cs="楷体"/>
          <w:b/>
          <w:bCs/>
          <w:color w:val="auto"/>
          <w:kern w:val="2"/>
          <w:sz w:val="32"/>
          <w:szCs w:val="32"/>
          <w:highlight w:val="none"/>
          <w:lang w:val="en-US" w:eastAsia="zh-CN" w:bidi="ar-SA"/>
        </w:rPr>
        <w:t>（四）推进社会治理法治化建设</w:t>
      </w:r>
      <w:r>
        <w:rPr>
          <w:rFonts w:hint="eastAsia" w:ascii="仿宋_GB2312" w:hAnsi="仿宋_GB2312" w:eastAsia="仿宋_GB2312" w:cs="仿宋_GB2312"/>
          <w:color w:val="auto"/>
          <w:sz w:val="32"/>
          <w:szCs w:val="32"/>
          <w:highlight w:val="none"/>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580" w:lineRule="exact"/>
        <w:ind w:firstLine="643" w:firstLineChars="200"/>
        <w:textAlignment w:val="auto"/>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1.加大人民调解力度。</w:t>
      </w:r>
      <w:r>
        <w:rPr>
          <w:rFonts w:hint="eastAsia" w:ascii="仿宋_GB2312" w:hAnsi="仿宋_GB2312" w:eastAsia="仿宋_GB2312" w:cs="仿宋_GB2312"/>
          <w:color w:val="auto"/>
          <w:kern w:val="2"/>
          <w:sz w:val="32"/>
          <w:szCs w:val="32"/>
          <w:highlight w:val="none"/>
          <w:lang w:val="en-US" w:eastAsia="zh-CN" w:bidi="ar-SA"/>
        </w:rPr>
        <w:t>开展“调解</w:t>
      </w:r>
      <w:r>
        <w:rPr>
          <w:color w:val="auto"/>
          <w:sz w:val="32"/>
          <w:szCs w:val="22"/>
          <w:highlight w:val="none"/>
        </w:rPr>
        <mc:AlternateContent>
          <mc:Choice Requires="wps">
            <w:drawing>
              <wp:anchor distT="0" distB="0" distL="114300" distR="114300" simplePos="0" relativeHeight="251660288" behindDoc="0" locked="0" layoutInCell="1" allowOverlap="1">
                <wp:simplePos x="0" y="0"/>
                <wp:positionH relativeFrom="column">
                  <wp:posOffset>5317490</wp:posOffset>
                </wp:positionH>
                <wp:positionV relativeFrom="paragraph">
                  <wp:posOffset>-862330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6497320" y="735330"/>
                          <a:ext cx="1828800" cy="1828800"/>
                        </a:xfrm>
                        <a:prstGeom prst="rect">
                          <a:avLst/>
                        </a:prstGeom>
                        <a:noFill/>
                        <a:ln w="6350">
                          <a:noFill/>
                        </a:ln>
                        <a:effectLst/>
                      </wps:spPr>
                      <wps:txbx>
                        <w:txbxContent>
                          <w:p>
                            <w:pPr>
                              <w:rPr>
                                <w:rFonts w:hint="eastAsia" w:eastAsia="宋体"/>
                                <w:b/>
                                <w:bCs/>
                                <w:color w:val="000000"/>
                                <w:sz w:val="72"/>
                                <w:szCs w:val="72"/>
                                <w:lang w:eastAsia="zh-CN"/>
                              </w:rPr>
                            </w:pP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418.7pt;margin-top:-67.9pt;height:144pt;width:144pt;mso-wrap-style:none;z-index:251660288;mso-width-relative:page;mso-height-relative:page;" filled="f" stroked="f" coordsize="21600,21600" o:gfxdata="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QIa6JdsAAAANAQAADwAAAAAAAAAB&#10;ACAAAAAiAAAAZHJzL2Rvd25yZXYueG1sUEsBAhQAFAAAAAgAh07iQF4H9+VGAgAAfgQAAA4AAAAA&#10;AAAAAQAgAAAAKgEAAGRycy9lMm9Eb2MueG1sUEsFBgAAAAAGAAYAWQEAAOIFAAAAAA==&#10;">
                <v:fill on="f" focussize="0,0"/>
                <v:stroke on="f" weight="0.5pt"/>
                <v:imagedata o:title=""/>
                <o:lock v:ext="edit" aspectratio="f"/>
                <v:textbox style="mso-fit-shape-to-text:t;">
                  <w:txbxContent>
                    <w:p>
                      <w:pPr>
                        <w:rPr>
                          <w:rFonts w:hint="eastAsia" w:eastAsia="宋体"/>
                          <w:b/>
                          <w:bCs/>
                          <w:color w:val="000000"/>
                          <w:sz w:val="72"/>
                          <w:szCs w:val="72"/>
                          <w:lang w:eastAsia="zh-CN"/>
                        </w:rPr>
                      </w:pPr>
                    </w:p>
                  </w:txbxContent>
                </v:textbox>
              </v:shape>
            </w:pict>
          </mc:Fallback>
        </mc:AlternateContent>
      </w:r>
      <w:r>
        <w:rPr>
          <w:rFonts w:hint="eastAsia" w:ascii="仿宋_GB2312" w:hAnsi="仿宋_GB2312" w:eastAsia="仿宋_GB2312" w:cs="仿宋_GB2312"/>
          <w:b w:val="0"/>
          <w:bCs w:val="0"/>
          <w:color w:val="auto"/>
          <w:kern w:val="2"/>
          <w:sz w:val="32"/>
          <w:szCs w:val="32"/>
          <w:highlight w:val="none"/>
          <w:lang w:val="en-US" w:eastAsia="zh-CN" w:bidi="ar-SA"/>
        </w:rPr>
        <w:t>护稳定，喜迎二十大”专项活动。组织工作人员深入村、社区、物业、企业等地积极排查各类矛盾纠纷，引导广大群众依法合理表达诉求，切实把矛盾化解在基层。2022年，共成功化解各类矛盾纠纷41起，受理诉前调解案件24起，其中一篇调解案例被司法部采用。在六个镇围绕《全国人民调解工作规范》进行宣讲，有效宣传人民调解的独特优势，共计200余人参训。同时，做好全县“清化收”工作的法律服务保障，以《土地承包经营权与“清化收”》为主题对各镇进行了专题授课，专门指派一名律师全程参与，及时化解“清化收”过程中的矛盾纠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b/>
          <w:bCs/>
          <w:color w:val="auto"/>
          <w:kern w:val="2"/>
          <w:sz w:val="32"/>
          <w:szCs w:val="32"/>
          <w:highlight w:val="none"/>
          <w:lang w:val="en-US" w:eastAsia="zh-CN" w:bidi="ar-SA"/>
        </w:rPr>
        <w:t>2.深化法治宣传教育。</w:t>
      </w:r>
      <w:r>
        <w:rPr>
          <w:rFonts w:hint="eastAsia" w:ascii="仿宋_GB2312" w:hAnsi="仿宋_GB2312" w:eastAsia="仿宋_GB2312" w:cs="仿宋_GB2312"/>
          <w:b w:val="0"/>
          <w:bCs w:val="0"/>
          <w:color w:val="auto"/>
          <w:kern w:val="2"/>
          <w:sz w:val="32"/>
          <w:szCs w:val="32"/>
          <w:highlight w:val="none"/>
          <w:lang w:val="en-US" w:eastAsia="zh-CN" w:bidi="ar-SA"/>
        </w:rPr>
        <w:t>结合全县“八五”普法规划，</w:t>
      </w:r>
      <w:r>
        <w:rPr>
          <w:rFonts w:hint="eastAsia" w:ascii="仿宋_GB2312" w:hAnsi="仿宋_GB2312" w:eastAsia="仿宋_GB2312" w:cs="仿宋_GB2312"/>
          <w:i w:val="0"/>
          <w:iCs w:val="0"/>
          <w:caps w:val="0"/>
          <w:color w:val="auto"/>
          <w:spacing w:val="0"/>
          <w:sz w:val="32"/>
          <w:szCs w:val="32"/>
          <w:highlight w:val="none"/>
          <w:shd w:val="clear" w:fill="FFFFFF"/>
          <w:lang w:eastAsia="zh-CN"/>
        </w:rPr>
        <w:t>制定年度普法计划，不断创新宣传形式和载体，开展形式多样的法治宣传教育活动。</w:t>
      </w:r>
      <w:r>
        <w:rPr>
          <w:rFonts w:hint="eastAsia" w:ascii="仿宋_GB2312" w:hAnsi="仿宋_GB2312" w:eastAsia="仿宋_GB2312" w:cs="仿宋_GB2312"/>
          <w:b/>
          <w:bCs/>
          <w:color w:val="auto"/>
          <w:kern w:val="2"/>
          <w:sz w:val="32"/>
          <w:szCs w:val="32"/>
          <w:highlight w:val="none"/>
          <w:lang w:val="en-US" w:eastAsia="zh-CN" w:bidi="ar-SA"/>
        </w:rPr>
        <w:t>演节目普法。</w:t>
      </w:r>
      <w:r>
        <w:rPr>
          <w:rFonts w:hint="eastAsia" w:ascii="仿宋_GB2312" w:hAnsi="仿宋_GB2312" w:eastAsia="仿宋_GB2312" w:cs="仿宋_GB2312"/>
          <w:color w:val="auto"/>
          <w:kern w:val="2"/>
          <w:sz w:val="32"/>
          <w:szCs w:val="32"/>
          <w:highlight w:val="none"/>
          <w:lang w:val="en-US" w:eastAsia="zh-CN" w:bidi="ar-SA"/>
        </w:rPr>
        <w:t>自编自演音乐快板，以群众喜闻乐见的形式进村入户开展普法宣传。</w:t>
      </w:r>
      <w:r>
        <w:rPr>
          <w:rFonts w:hint="eastAsia" w:ascii="仿宋_GB2312" w:hAnsi="仿宋_GB2312" w:eastAsia="仿宋_GB2312" w:cs="仿宋_GB2312"/>
          <w:b/>
          <w:bCs/>
          <w:color w:val="auto"/>
          <w:kern w:val="2"/>
          <w:sz w:val="32"/>
          <w:szCs w:val="32"/>
          <w:highlight w:val="none"/>
          <w:lang w:val="en-US" w:eastAsia="zh-CN" w:bidi="ar-SA"/>
        </w:rPr>
        <w:t>搞主题普法。</w:t>
      </w:r>
      <w:r>
        <w:rPr>
          <w:rFonts w:hint="eastAsia" w:ascii="仿宋_GB2312" w:hAnsi="仿宋_GB2312" w:eastAsia="仿宋_GB2312" w:cs="仿宋_GB2312"/>
          <w:color w:val="auto"/>
          <w:kern w:val="2"/>
          <w:sz w:val="32"/>
          <w:szCs w:val="32"/>
          <w:highlight w:val="none"/>
          <w:lang w:val="en-US" w:eastAsia="zh-CN" w:bidi="ar-SA"/>
        </w:rPr>
        <w:t>相继开展了“美好生活·民法典相伴”“法润民心，圆梦三晋”等主题的宣传月活动。累计发放法治小礼品、宣传资料4000余份。动员全县各单位进行“民法典”线上答题活动，参与人数达2000余人。</w:t>
      </w:r>
      <w:r>
        <w:rPr>
          <w:rFonts w:hint="eastAsia" w:ascii="仿宋_GB2312" w:hAnsi="仿宋_GB2312" w:eastAsia="仿宋_GB2312" w:cs="仿宋_GB2312"/>
          <w:b/>
          <w:bCs/>
          <w:color w:val="auto"/>
          <w:kern w:val="2"/>
          <w:sz w:val="32"/>
          <w:szCs w:val="32"/>
          <w:highlight w:val="none"/>
          <w:lang w:val="en-US" w:eastAsia="zh-CN" w:bidi="ar-SA"/>
        </w:rPr>
        <w:t>办讲座普法。</w:t>
      </w:r>
      <w:r>
        <w:rPr>
          <w:rFonts w:hint="eastAsia" w:ascii="仿宋_GB2312" w:hAnsi="仿宋_GB2312" w:eastAsia="仿宋_GB2312" w:cs="仿宋_GB2312"/>
          <w:color w:val="auto"/>
          <w:kern w:val="2"/>
          <w:sz w:val="32"/>
          <w:szCs w:val="32"/>
          <w:highlight w:val="none"/>
          <w:lang w:val="en-US" w:eastAsia="zh-CN" w:bidi="ar-SA"/>
        </w:rPr>
        <w:t>在电视台“荀乡普法栏目”</w:t>
      </w:r>
      <w:r>
        <w:rPr>
          <w:color w:val="auto"/>
          <w:sz w:val="32"/>
          <w:szCs w:val="22"/>
          <w:highlight w:val="none"/>
        </w:rPr>
        <mc:AlternateContent>
          <mc:Choice Requires="wps">
            <w:drawing>
              <wp:anchor distT="0" distB="0" distL="114300" distR="114300" simplePos="0" relativeHeight="251661312" behindDoc="0" locked="0" layoutInCell="1" allowOverlap="1">
                <wp:simplePos x="0" y="0"/>
                <wp:positionH relativeFrom="column">
                  <wp:posOffset>5467350</wp:posOffset>
                </wp:positionH>
                <wp:positionV relativeFrom="paragraph">
                  <wp:posOffset>-848995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rPr>
                                <w:rFonts w:hint="eastAsia" w:eastAsia="宋体"/>
                                <w:b/>
                                <w:bCs/>
                                <w:color w:val="000000"/>
                                <w:sz w:val="72"/>
                                <w:szCs w:val="72"/>
                                <w:lang w:eastAsia="zh-CN"/>
                              </w:rPr>
                            </w:pP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430.5pt;margin-top:-66.85pt;height:144pt;width:144pt;mso-wrap-style:none;z-index:251661312;mso-width-relative:page;mso-height-relative:page;" filled="f" stroked="f" coordsize="21600,21600" o:gfxdata="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ZOxR9sAAAANAQAADwAAAAAAAAABACAAAAAiAAAA&#10;ZHJzL2Rvd25yZXYueG1sUEsBAhQAFAAAAAgAh07iQIaEFEI9AgAAcwQAAA4AAAAAAAAAAQAgAAAA&#10;KgEAAGRycy9lMm9Eb2MueG1sUEsFBgAAAAAGAAYAWQEAANkFAAAAAA==&#10;">
                <v:fill on="f" focussize="0,0"/>
                <v:stroke on="f" weight="0.5pt"/>
                <v:imagedata o:title=""/>
                <o:lock v:ext="edit" aspectratio="f"/>
                <v:textbox style="mso-fit-shape-to-text:t;">
                  <w:txbxContent>
                    <w:p>
                      <w:pPr>
                        <w:rPr>
                          <w:rFonts w:hint="eastAsia" w:eastAsia="宋体"/>
                          <w:b/>
                          <w:bCs/>
                          <w:color w:val="000000"/>
                          <w:sz w:val="72"/>
                          <w:szCs w:val="72"/>
                          <w:lang w:eastAsia="zh-CN"/>
                        </w:rPr>
                      </w:pPr>
                    </w:p>
                  </w:txbxContent>
                </v:textbox>
              </v:shape>
            </w:pict>
          </mc:Fallback>
        </mc:AlternateContent>
      </w:r>
      <w:r>
        <w:rPr>
          <w:rFonts w:hint="eastAsia" w:ascii="仿宋_GB2312" w:hAnsi="仿宋_GB2312" w:eastAsia="仿宋_GB2312" w:cs="仿宋_GB2312"/>
          <w:color w:val="auto"/>
          <w:kern w:val="2"/>
          <w:sz w:val="32"/>
          <w:szCs w:val="32"/>
          <w:highlight w:val="none"/>
          <w:lang w:val="en-US" w:eastAsia="zh-CN" w:bidi="ar-SA"/>
        </w:rPr>
        <w:t>开展《民法典》讲座1次，律师以案释法3次，为安泽一中和安泽二中学生开展未成年人保护法专题讲座2次，微信公众号推送普法应知应会2篇。</w:t>
      </w:r>
      <w:r>
        <w:rPr>
          <w:rFonts w:hint="eastAsia" w:ascii="仿宋_GB2312" w:hAnsi="仿宋_GB2312" w:eastAsia="仿宋_GB2312" w:cs="仿宋_GB2312"/>
          <w:b/>
          <w:bCs/>
          <w:color w:val="auto"/>
          <w:kern w:val="2"/>
          <w:sz w:val="32"/>
          <w:szCs w:val="32"/>
          <w:highlight w:val="none"/>
          <w:lang w:val="en-US" w:eastAsia="zh-CN" w:bidi="ar-SA"/>
        </w:rPr>
        <w:t>抓联合普法。</w:t>
      </w:r>
      <w:r>
        <w:rPr>
          <w:rFonts w:hint="eastAsia" w:ascii="仿宋_GB2312" w:hAnsi="仿宋_GB2312" w:eastAsia="仿宋_GB2312" w:cs="仿宋_GB2312"/>
          <w:color w:val="auto"/>
          <w:kern w:val="2"/>
          <w:sz w:val="32"/>
          <w:szCs w:val="32"/>
          <w:highlight w:val="none"/>
          <w:lang w:val="en-US" w:eastAsia="zh-CN" w:bidi="ar-SA"/>
        </w:rPr>
        <w:t>推动“谁执法谁普法”，开展集中培训4次，在县城主要街道开展妇女权益保护、国家安全、防范非法集资、防范电信诈骗等集中宣传10余次，发放宣传资料万余份。形式多样的法治宣传活动增强了法律法规宣传的针对性和实效性，加强了群众法律意识，营造了良好的法治氛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3.优化公共法律服务。</w:t>
      </w:r>
      <w:r>
        <w:rPr>
          <w:rFonts w:hint="eastAsia" w:ascii="仿宋_GB2312" w:hAnsi="仿宋_GB2312" w:eastAsia="仿宋_GB2312" w:cs="仿宋_GB2312"/>
          <w:color w:val="auto"/>
          <w:sz w:val="32"/>
          <w:szCs w:val="32"/>
          <w:highlight w:val="none"/>
          <w:lang w:val="en-US" w:eastAsia="zh-CN"/>
        </w:rPr>
        <w:t>我县创新举措，开展“四心”服务。</w:t>
      </w:r>
      <w:r>
        <w:rPr>
          <w:rFonts w:hint="eastAsia" w:ascii="仿宋_GB2312" w:hAnsi="仿宋_GB2312" w:eastAsia="仿宋_GB2312" w:cs="仿宋_GB2312"/>
          <w:b/>
          <w:bCs/>
          <w:color w:val="auto"/>
          <w:kern w:val="2"/>
          <w:sz w:val="32"/>
          <w:szCs w:val="32"/>
          <w:highlight w:val="none"/>
          <w:lang w:val="en-US" w:eastAsia="zh-CN" w:bidi="ar-SA"/>
        </w:rPr>
        <w:t>免费咨询“惠民心”。</w:t>
      </w:r>
      <w:r>
        <w:rPr>
          <w:rFonts w:hint="eastAsia" w:ascii="仿宋_GB2312" w:hAnsi="仿宋_GB2312" w:eastAsia="仿宋_GB2312" w:cs="仿宋_GB2312"/>
          <w:color w:val="auto"/>
          <w:sz w:val="32"/>
          <w:szCs w:val="32"/>
          <w:highlight w:val="none"/>
          <w:lang w:val="en-US" w:eastAsia="zh-CN"/>
        </w:rPr>
        <w:t>组织全县律师、基层法律服务工作者、政法机关退休人员等12人组成专业法律服务团队，在县公共法律服务中心、6个镇司法所轮流坐班，为群众提供免费法律咨询、协助人民调解、开展法律援助和普法宣传等。大力推行乡村公共法律</w:t>
      </w:r>
      <w:r>
        <w:rPr>
          <w:color w:val="auto"/>
          <w:sz w:val="32"/>
          <w:szCs w:val="22"/>
          <w:highlight w:val="none"/>
        </w:rPr>
        <mc:AlternateContent>
          <mc:Choice Requires="wps">
            <w:drawing>
              <wp:anchor distT="0" distB="0" distL="114300" distR="114300" simplePos="0" relativeHeight="251662336" behindDoc="0" locked="0" layoutInCell="1" allowOverlap="1">
                <wp:simplePos x="0" y="0"/>
                <wp:positionH relativeFrom="column">
                  <wp:posOffset>5300980</wp:posOffset>
                </wp:positionH>
                <wp:positionV relativeFrom="paragraph">
                  <wp:posOffset>-848995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rPr>
                                <w:rFonts w:hint="eastAsia" w:eastAsia="宋体"/>
                                <w:b/>
                                <w:bCs/>
                                <w:color w:val="000000"/>
                                <w:sz w:val="72"/>
                                <w:szCs w:val="72"/>
                                <w:lang w:eastAsia="zh-CN"/>
                              </w:rPr>
                            </w:pP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417.4pt;margin-top:-66.85pt;height:144pt;width:144pt;mso-wrap-style:none;z-index:251662336;mso-width-relative:page;mso-height-relative:page;" filled="f" stroked="f" coordsize="21600,21600" o:gfxdata="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&#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EErvY2wAAAA0BAAAPAAAAAAAAAAEAIAAAACIAAABk&#10;cnMvZG93bnJldi54bWxQSwECFAAUAAAACACHTuJAcu4D3DwCAABzBAAADgAAAAAAAAABACAAAAAq&#10;AQAAZHJzL2Uyb0RvYy54bWxQSwUGAAAAAAYABgBZAQAA2AUAAAAA&#10;">
                <v:fill on="f" focussize="0,0"/>
                <v:stroke on="f" weight="0.5pt"/>
                <v:imagedata o:title=""/>
                <o:lock v:ext="edit" aspectratio="f"/>
                <v:textbox style="mso-fit-shape-to-text:t;">
                  <w:txbxContent>
                    <w:p>
                      <w:pPr>
                        <w:rPr>
                          <w:rFonts w:hint="eastAsia" w:eastAsia="宋体"/>
                          <w:b/>
                          <w:bCs/>
                          <w:color w:val="000000"/>
                          <w:sz w:val="72"/>
                          <w:szCs w:val="72"/>
                          <w:lang w:eastAsia="zh-CN"/>
                        </w:rPr>
                      </w:pPr>
                    </w:p>
                  </w:txbxContent>
                </v:textbox>
              </v:shape>
            </w:pict>
          </mc:Fallback>
        </mc:AlternateContent>
      </w:r>
      <w:r>
        <w:rPr>
          <w:rFonts w:hint="eastAsia" w:ascii="仿宋_GB2312" w:hAnsi="仿宋_GB2312" w:eastAsia="仿宋_GB2312" w:cs="仿宋_GB2312"/>
          <w:color w:val="auto"/>
          <w:sz w:val="32"/>
          <w:szCs w:val="32"/>
          <w:highlight w:val="none"/>
          <w:lang w:val="en-US" w:eastAsia="zh-CN"/>
        </w:rPr>
        <w:t>服务“一码通”，群众只要扫描二维码，就可以找到法律服务团队联系方式和办事流程，享受“触手可及、扫码即用”的零距离法律服务。2022年，共提供免费法律咨询1049人次，群众</w:t>
      </w:r>
      <w:r>
        <w:rPr>
          <w:rFonts w:hint="eastAsia" w:ascii="仿宋_GB2312" w:hAnsi="仿宋_GB2312" w:eastAsia="仿宋_GB2312" w:cs="仿宋_GB2312"/>
          <w:b w:val="0"/>
          <w:bCs w:val="0"/>
          <w:color w:val="auto"/>
          <w:sz w:val="32"/>
          <w:szCs w:val="32"/>
          <w:highlight w:val="none"/>
          <w:lang w:val="en-US" w:eastAsia="zh-CN"/>
        </w:rPr>
        <w:t>满意度100%。</w:t>
      </w:r>
      <w:r>
        <w:rPr>
          <w:rFonts w:hint="eastAsia" w:ascii="仿宋_GB2312" w:hAnsi="仿宋_GB2312" w:eastAsia="仿宋_GB2312" w:cs="仿宋_GB2312"/>
          <w:color w:val="auto"/>
          <w:sz w:val="32"/>
          <w:szCs w:val="32"/>
          <w:highlight w:val="none"/>
          <w:lang w:val="en-US" w:eastAsia="zh-CN"/>
        </w:rPr>
        <w:t>率先完成免费法律咨询和特殊群体法律援助惠民工程两项目标任务，在全市排名第一，在6月份全市推进会上做典型发言</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bCs/>
          <w:color w:val="auto"/>
          <w:kern w:val="2"/>
          <w:sz w:val="32"/>
          <w:szCs w:val="32"/>
          <w:highlight w:val="none"/>
          <w:lang w:val="en-US" w:eastAsia="zh-CN" w:bidi="ar-SA"/>
        </w:rPr>
        <w:t>法律援助“暖民心”。</w:t>
      </w:r>
      <w:r>
        <w:rPr>
          <w:rStyle w:val="8"/>
          <w:rFonts w:hint="eastAsia" w:ascii="仿宋_GB2312" w:hAnsi="仿宋_GB2312" w:eastAsia="仿宋_GB2312" w:cs="仿宋_GB2312"/>
          <w:b w:val="0"/>
          <w:bCs/>
          <w:color w:val="auto"/>
          <w:spacing w:val="0"/>
          <w:sz w:val="32"/>
          <w:szCs w:val="32"/>
          <w:highlight w:val="none"/>
          <w:lang w:val="en-US" w:eastAsia="zh-CN"/>
        </w:rPr>
        <w:t>2022年是《中华人民共和国法律援助法》颁布第一年，我们坚持“应援尽援、应援优援”。全年共办理法律援助案件51件，其中：特殊群体法律援助案件15件。认罪认罚犯罪嫌疑人提供法律帮助44件，刑事案件律师辩护全覆盖法律援助34件。2022年7月28日，省司法厅“三晋法援基层行”采访调研安泽，将我县法律援助经验做法在全国十四家新闻媒</w:t>
      </w:r>
      <w:r>
        <w:rPr>
          <w:rFonts w:hint="eastAsia" w:ascii="仿宋_GB2312" w:hAnsi="仿宋_GB2312" w:eastAsia="仿宋_GB2312" w:cs="仿宋_GB2312"/>
          <w:color w:val="auto"/>
          <w:sz w:val="32"/>
          <w:szCs w:val="32"/>
          <w:highlight w:val="none"/>
          <w:lang w:val="en-US" w:eastAsia="zh-CN"/>
        </w:rPr>
        <w:t>体宣传报道。一篇题为“山西安泽：让群众免费分享‘一对一’法律大餐”的视频文章被“学习强国”平台采用。</w:t>
      </w:r>
      <w:r>
        <w:rPr>
          <w:rFonts w:hint="eastAsia" w:ascii="仿宋_GB2312" w:hAnsi="仿宋_GB2312" w:eastAsia="仿宋_GB2312" w:cs="仿宋_GB2312"/>
          <w:color w:val="auto"/>
          <w:sz w:val="32"/>
          <w:szCs w:val="22"/>
          <w:highlight w:val="none"/>
        </w:rPr>
        <mc:AlternateContent>
          <mc:Choice Requires="wps">
            <w:drawing>
              <wp:anchor distT="0" distB="0" distL="114300" distR="114300" simplePos="0" relativeHeight="251663360" behindDoc="0" locked="0" layoutInCell="1" allowOverlap="1">
                <wp:simplePos x="0" y="0"/>
                <wp:positionH relativeFrom="column">
                  <wp:posOffset>5528310</wp:posOffset>
                </wp:positionH>
                <wp:positionV relativeFrom="paragraph">
                  <wp:posOffset>-828675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rPr>
                                <w:rFonts w:hint="eastAsia" w:eastAsia="宋体"/>
                                <w:b/>
                                <w:bCs/>
                                <w:color w:val="000000"/>
                                <w:sz w:val="72"/>
                                <w:szCs w:val="72"/>
                                <w:lang w:eastAsia="zh-CN"/>
                              </w:rPr>
                            </w:pP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435.3pt;margin-top:-65.25pt;height:144pt;width:144pt;mso-wrap-style:none;z-index:251663360;mso-width-relative:page;mso-height-relative:page;" filled="f" stroked="f" coordsize="21600,21600" o:gfxdata="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dlwputoAAAANAQAADwAAAAAAAAABACAAAAAiAAAAZHJz&#10;L2Rvd25yZXYueG1sUEsBAhQAFAAAAAgAh07iQPwxHw07AgAAcwQAAA4AAAAAAAAAAQAgAAAAKQEA&#10;AGRycy9lMm9Eb2MueG1sUEsFBgAAAAAGAAYAWQEAANYFAAAAAA==&#10;">
                <v:fill on="f" focussize="0,0"/>
                <v:stroke on="f" weight="0.5pt"/>
                <v:imagedata o:title=""/>
                <o:lock v:ext="edit" aspectratio="f"/>
                <v:textbox style="mso-fit-shape-to-text:t;">
                  <w:txbxContent>
                    <w:p>
                      <w:pPr>
                        <w:rPr>
                          <w:rFonts w:hint="eastAsia" w:eastAsia="宋体"/>
                          <w:b/>
                          <w:bCs/>
                          <w:color w:val="000000"/>
                          <w:sz w:val="72"/>
                          <w:szCs w:val="72"/>
                          <w:lang w:eastAsia="zh-CN"/>
                        </w:rPr>
                      </w:pPr>
                    </w:p>
                  </w:txbxContent>
                </v:textbox>
              </v:shape>
            </w:pict>
          </mc:Fallback>
        </mc:AlternateContent>
      </w:r>
      <w:r>
        <w:rPr>
          <w:rFonts w:hint="eastAsia" w:ascii="仿宋_GB2312" w:hAnsi="仿宋_GB2312" w:eastAsia="仿宋_GB2312" w:cs="仿宋_GB2312"/>
          <w:b/>
          <w:bCs/>
          <w:color w:val="auto"/>
          <w:sz w:val="32"/>
          <w:szCs w:val="32"/>
          <w:highlight w:val="none"/>
          <w:lang w:val="en-US" w:eastAsia="zh-CN"/>
        </w:rPr>
        <w:t>优化营商“贴民心”。</w:t>
      </w:r>
      <w:r>
        <w:rPr>
          <w:rFonts w:hint="eastAsia" w:ascii="仿宋_GB2312" w:hAnsi="仿宋_GB2312" w:eastAsia="仿宋_GB2312" w:cs="仿宋_GB2312"/>
          <w:color w:val="auto"/>
          <w:sz w:val="32"/>
          <w:szCs w:val="32"/>
          <w:highlight w:val="none"/>
          <w:lang w:val="en-US" w:eastAsia="zh-CN"/>
        </w:rPr>
        <w:t>成立“联企服务”小组，</w:t>
      </w:r>
      <w:r>
        <w:rPr>
          <w:rFonts w:hint="eastAsia" w:ascii="仿宋_GB2312" w:hAnsi="仿宋_GB2312" w:eastAsia="仿宋_GB2312" w:cs="仿宋_GB2312"/>
          <w:color w:val="auto"/>
          <w:sz w:val="32"/>
          <w:szCs w:val="32"/>
          <w:highlight w:val="none"/>
        </w:rPr>
        <w:t>开展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联企服务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专项活动,</w:t>
      </w:r>
      <w:r>
        <w:rPr>
          <w:rFonts w:hint="eastAsia" w:ascii="仿宋_GB2312" w:hAnsi="仿宋_GB2312" w:eastAsia="仿宋_GB2312" w:cs="仿宋_GB2312"/>
          <w:color w:val="auto"/>
          <w:sz w:val="32"/>
          <w:szCs w:val="32"/>
          <w:highlight w:val="none"/>
          <w:lang w:val="en-US" w:eastAsia="zh-CN"/>
        </w:rPr>
        <w:t xml:space="preserve"> 先后6次深入企业，送法入企、走访座谈，主动为企业提供“法治体检”，当好“法治医生”。为企业解决法律难题8件，提出法律建议4件。</w:t>
      </w:r>
      <w:r>
        <w:rPr>
          <w:rFonts w:hint="eastAsia" w:ascii="仿宋_GB2312" w:hAnsi="仿宋_GB2312" w:eastAsia="仿宋_GB2312" w:cs="仿宋_GB2312"/>
          <w:b/>
          <w:bCs/>
          <w:color w:val="auto"/>
          <w:sz w:val="32"/>
          <w:szCs w:val="32"/>
          <w:highlight w:val="none"/>
          <w:lang w:val="en-US" w:eastAsia="zh-CN"/>
        </w:rPr>
        <w:t>公证服务“连民心”。</w:t>
      </w:r>
      <w:r>
        <w:rPr>
          <w:rFonts w:hint="eastAsia" w:ascii="仿宋_GB2312" w:hAnsi="仿宋_GB2312" w:eastAsia="仿宋_GB2312" w:cs="仿宋_GB2312"/>
          <w:color w:val="auto"/>
          <w:sz w:val="32"/>
          <w:szCs w:val="32"/>
          <w:highlight w:val="none"/>
          <w:lang w:val="en-US" w:eastAsia="zh-CN"/>
        </w:rPr>
        <w:t>制定告知清单，一次性告知办证事项所需材料和业务流程，实现最多跑一次。开展上门公证服务，为老弱病残、行动不便的当事人上门公证，让人性化的公证服务温暖人心，用主动服务减少群众来回跑动。今年共办理公证事项63件，其中：上门公证10件，最多跑一次公证40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4.深入开展“民主法治示范村（社区）”创建。</w:t>
      </w:r>
      <w:r>
        <w:rPr>
          <w:rFonts w:hint="eastAsia" w:ascii="仿宋_GB2312" w:hAnsi="仿宋_GB2312" w:eastAsia="仿宋_GB2312" w:cs="仿宋_GB2312"/>
          <w:i w:val="0"/>
          <w:iCs w:val="0"/>
          <w:caps w:val="0"/>
          <w:color w:val="000000"/>
          <w:spacing w:val="8"/>
          <w:sz w:val="32"/>
          <w:szCs w:val="32"/>
          <w:shd w:val="clear" w:fill="FFFFFF"/>
        </w:rPr>
        <w:t>对全县所有村（社区）的民主法治示范村进行动态管理。</w:t>
      </w:r>
      <w:r>
        <w:rPr>
          <w:rFonts w:hint="eastAsia" w:ascii="仿宋_GB2312" w:hAnsi="仿宋_GB2312" w:eastAsia="仿宋_GB2312" w:cs="仿宋_GB2312"/>
          <w:b w:val="0"/>
          <w:bCs w:val="0"/>
          <w:kern w:val="2"/>
          <w:sz w:val="32"/>
          <w:szCs w:val="32"/>
          <w:lang w:val="en-US" w:eastAsia="zh-CN" w:bidi="ar-SA"/>
        </w:rPr>
        <w:t>2022年，我县成功创建</w:t>
      </w:r>
      <w:r>
        <w:rPr>
          <w:rFonts w:hint="eastAsia" w:ascii="仿宋_GB2312" w:hAnsi="仿宋_GB2312" w:eastAsia="仿宋_GB2312" w:cs="仿宋_GB2312"/>
          <w:i w:val="0"/>
          <w:iCs w:val="0"/>
          <w:caps w:val="0"/>
          <w:color w:val="000000"/>
          <w:spacing w:val="8"/>
          <w:sz w:val="32"/>
          <w:szCs w:val="32"/>
          <w:shd w:val="clear" w:fill="FFFFFF"/>
        </w:rPr>
        <w:t>国家级“民主法治示范村（社区）”</w:t>
      </w:r>
      <w:r>
        <w:rPr>
          <w:rFonts w:hint="eastAsia" w:ascii="仿宋_GB2312" w:hAnsi="仿宋_GB2312" w:eastAsia="仿宋_GB2312" w:cs="仿宋_GB2312"/>
          <w:i w:val="0"/>
          <w:iCs w:val="0"/>
          <w:caps w:val="0"/>
          <w:color w:val="000000"/>
          <w:spacing w:val="8"/>
          <w:sz w:val="32"/>
          <w:szCs w:val="32"/>
          <w:shd w:val="clear" w:fill="FFFFFF"/>
          <w:lang w:val="en-US" w:eastAsia="zh-CN"/>
        </w:rPr>
        <w:t>1个（小李村）、</w:t>
      </w:r>
      <w:r>
        <w:rPr>
          <w:rFonts w:hint="eastAsia" w:ascii="仿宋_GB2312" w:hAnsi="仿宋_GB2312" w:eastAsia="仿宋_GB2312" w:cs="仿宋_GB2312"/>
          <w:b w:val="0"/>
          <w:bCs w:val="0"/>
          <w:kern w:val="2"/>
          <w:sz w:val="32"/>
          <w:szCs w:val="32"/>
          <w:lang w:val="en-US" w:eastAsia="zh-CN" w:bidi="ar-SA"/>
        </w:rPr>
        <w:t>省级“民主</w:t>
      </w:r>
      <w:r>
        <w:rPr>
          <w:rFonts w:hint="eastAsia" w:ascii="仿宋_GB2312" w:hAnsi="仿宋_GB2312" w:eastAsia="仿宋_GB2312" w:cs="仿宋_GB2312"/>
          <w:i w:val="0"/>
          <w:iCs w:val="0"/>
          <w:caps w:val="0"/>
          <w:color w:val="000000"/>
          <w:spacing w:val="8"/>
          <w:sz w:val="32"/>
          <w:szCs w:val="32"/>
          <w:shd w:val="clear" w:fill="FFFFFF"/>
        </w:rPr>
        <w:t>法治</w:t>
      </w:r>
      <w:r>
        <w:rPr>
          <w:rFonts w:hint="eastAsia" w:ascii="仿宋_GB2312" w:hAnsi="仿宋_GB2312" w:eastAsia="仿宋_GB2312" w:cs="仿宋_GB2312"/>
          <w:b w:val="0"/>
          <w:bCs w:val="0"/>
          <w:kern w:val="2"/>
          <w:sz w:val="32"/>
          <w:szCs w:val="32"/>
          <w:lang w:val="en-US" w:eastAsia="zh-CN" w:bidi="ar-SA"/>
        </w:rPr>
        <w:t>示范村</w:t>
      </w:r>
      <w:r>
        <w:rPr>
          <w:rFonts w:hint="eastAsia" w:ascii="仿宋_GB2312" w:hAnsi="仿宋_GB2312" w:eastAsia="仿宋_GB2312" w:cs="仿宋_GB2312"/>
          <w:i w:val="0"/>
          <w:iCs w:val="0"/>
          <w:caps w:val="0"/>
          <w:color w:val="000000"/>
          <w:spacing w:val="8"/>
          <w:sz w:val="32"/>
          <w:szCs w:val="32"/>
          <w:shd w:val="clear" w:fill="FFFFFF"/>
          <w:lang w:val="en-US" w:eastAsia="zh-CN"/>
        </w:rPr>
        <w:t>（社区）</w:t>
      </w:r>
      <w:r>
        <w:rPr>
          <w:rFonts w:hint="eastAsia" w:ascii="仿宋_GB2312" w:hAnsi="仿宋_GB2312" w:eastAsia="仿宋_GB2312" w:cs="仿宋_GB2312"/>
          <w:b w:val="0"/>
          <w:bCs w:val="0"/>
          <w:kern w:val="2"/>
          <w:sz w:val="32"/>
          <w:szCs w:val="32"/>
          <w:lang w:val="en-US" w:eastAsia="zh-CN" w:bidi="ar-SA"/>
        </w:rPr>
        <w:t>”3个</w:t>
      </w:r>
      <w:r>
        <w:rPr>
          <w:rFonts w:hint="eastAsia" w:ascii="仿宋_GB2312" w:hAnsi="仿宋_GB2312" w:eastAsia="仿宋_GB2312" w:cs="仿宋_GB2312"/>
          <w:i w:val="0"/>
          <w:iCs w:val="0"/>
          <w:caps w:val="0"/>
          <w:color w:val="000000"/>
          <w:spacing w:val="8"/>
          <w:sz w:val="32"/>
          <w:szCs w:val="32"/>
          <w:shd w:val="clear" w:fill="FFFFFF"/>
          <w:lang w:eastAsia="zh-CN"/>
        </w:rPr>
        <w:t>（</w:t>
      </w:r>
      <w:r>
        <w:rPr>
          <w:rFonts w:hint="eastAsia" w:ascii="仿宋_GB2312" w:hAnsi="仿宋_GB2312" w:eastAsia="仿宋_GB2312" w:cs="仿宋_GB2312"/>
          <w:i w:val="0"/>
          <w:iCs w:val="0"/>
          <w:caps w:val="0"/>
          <w:color w:val="000000"/>
          <w:spacing w:val="8"/>
          <w:sz w:val="32"/>
          <w:szCs w:val="32"/>
          <w:shd w:val="clear" w:fill="FFFFFF"/>
          <w:lang w:val="en-US" w:eastAsia="zh-CN"/>
        </w:rPr>
        <w:t>马壁村、安上村、神南村</w:t>
      </w:r>
      <w:r>
        <w:rPr>
          <w:rFonts w:hint="eastAsia" w:ascii="仿宋_GB2312" w:hAnsi="仿宋_GB2312" w:eastAsia="仿宋_GB2312" w:cs="仿宋_GB2312"/>
          <w:i w:val="0"/>
          <w:iCs w:val="0"/>
          <w:caps w:val="0"/>
          <w:color w:val="000000"/>
          <w:spacing w:val="8"/>
          <w:sz w:val="32"/>
          <w:szCs w:val="32"/>
          <w:shd w:val="clear" w:fill="FFFFFF"/>
          <w:lang w:eastAsia="zh-CN"/>
        </w:rPr>
        <w:t>）、</w:t>
      </w:r>
      <w:r>
        <w:rPr>
          <w:rFonts w:hint="eastAsia" w:ascii="仿宋_GB2312" w:hAnsi="仿宋_GB2312" w:eastAsia="仿宋_GB2312" w:cs="仿宋_GB2312"/>
          <w:i w:val="0"/>
          <w:iCs w:val="0"/>
          <w:caps w:val="0"/>
          <w:color w:val="000000"/>
          <w:spacing w:val="8"/>
          <w:sz w:val="32"/>
          <w:szCs w:val="32"/>
          <w:shd w:val="clear" w:fill="FFFFFF"/>
          <w:lang w:val="en-US" w:eastAsia="zh-CN"/>
        </w:rPr>
        <w:t>省级法治宣传教育基地1个（国家税务总局安泽县税务局法治宣传教育基地）、市级法治宣传教育基地2个（国家税务总局安泽县税务局法治宣传教育基地、安泽县荀子文化园）</w:t>
      </w:r>
      <w:r>
        <w:rPr>
          <w:rFonts w:hint="eastAsia" w:ascii="仿宋_GB2312" w:hAnsi="仿宋_GB2312" w:eastAsia="仿宋_GB2312" w:cs="仿宋_GB2312"/>
          <w:i w:val="0"/>
          <w:iCs w:val="0"/>
          <w:caps w:val="0"/>
          <w:color w:val="000000"/>
          <w:spacing w:val="8"/>
          <w:sz w:val="32"/>
          <w:szCs w:val="32"/>
          <w:shd w:val="clear"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二、推进法治政府建设存在的不足和原因</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2022年法治政府建设工作取得了一定成效，但也存在一些薄弱环节，主要表现在：</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b w:val="0"/>
          <w:bCs w:val="0"/>
          <w:i w:val="0"/>
          <w:iCs w:val="0"/>
          <w:caps w:val="0"/>
          <w:color w:val="auto"/>
          <w:spacing w:val="0"/>
          <w:sz w:val="32"/>
          <w:szCs w:val="32"/>
          <w:highlight w:val="none"/>
          <w:shd w:val="clear" w:fill="FFFFFF"/>
          <w:lang w:eastAsia="zh-CN"/>
        </w:rPr>
      </w:pPr>
      <w:r>
        <w:rPr>
          <w:rFonts w:hint="eastAsia" w:ascii="仿宋_GB2312" w:hAnsi="仿宋_GB2312" w:eastAsia="仿宋_GB2312" w:cs="仿宋_GB2312"/>
          <w:b/>
          <w:bCs/>
          <w:color w:val="auto"/>
          <w:kern w:val="2"/>
          <w:sz w:val="32"/>
          <w:szCs w:val="32"/>
          <w:highlight w:val="none"/>
          <w:lang w:val="en-US" w:eastAsia="zh-CN" w:bidi="ar-SA"/>
        </w:rPr>
        <w:t>一是法治队伍建设存在短板。</w:t>
      </w:r>
      <w:r>
        <w:rPr>
          <w:rFonts w:hint="eastAsia" w:ascii="仿宋" w:hAnsi="仿宋" w:eastAsia="仿宋" w:cs="仿宋"/>
          <w:b w:val="0"/>
          <w:bCs w:val="0"/>
          <w:i w:val="0"/>
          <w:iCs w:val="0"/>
          <w:caps w:val="0"/>
          <w:color w:val="auto"/>
          <w:spacing w:val="0"/>
          <w:sz w:val="32"/>
          <w:szCs w:val="32"/>
          <w:highlight w:val="none"/>
          <w:shd w:val="clear" w:fill="FFFFFF"/>
          <w:lang w:eastAsia="zh-CN"/>
        </w:rPr>
        <w:t>个别执法部门领导干部的法治意识和法治思维树立得还不够牢固</w:t>
      </w:r>
      <w:r>
        <w:rPr>
          <w:rFonts w:hint="eastAsia" w:ascii="仿宋" w:hAnsi="仿宋" w:eastAsia="仿宋" w:cs="仿宋"/>
          <w:b w:val="0"/>
          <w:bCs w:val="0"/>
          <w:i w:val="0"/>
          <w:iCs w:val="0"/>
          <w:caps w:val="0"/>
          <w:color w:val="auto"/>
          <w:spacing w:val="0"/>
          <w:sz w:val="32"/>
          <w:szCs w:val="32"/>
          <w:highlight w:val="none"/>
          <w:shd w:val="clear" w:fill="FFFFFF"/>
        </w:rPr>
        <w:t>，</w:t>
      </w:r>
      <w:r>
        <w:rPr>
          <w:rFonts w:hint="eastAsia" w:ascii="仿宋" w:hAnsi="仿宋" w:eastAsia="仿宋" w:cs="仿宋"/>
          <w:b w:val="0"/>
          <w:bCs w:val="0"/>
          <w:i w:val="0"/>
          <w:iCs w:val="0"/>
          <w:caps w:val="0"/>
          <w:color w:val="auto"/>
          <w:spacing w:val="0"/>
          <w:sz w:val="32"/>
          <w:szCs w:val="32"/>
          <w:highlight w:val="none"/>
          <w:shd w:val="clear" w:fill="FFFFFF"/>
          <w:lang w:eastAsia="zh-CN"/>
        </w:rPr>
        <w:t>在推进法治建设工作中存在抓得不紧，责任不明的情况。</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default"/>
          <w:color w:val="auto"/>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二是学法用法力度还不够。</w:t>
      </w:r>
      <w:r>
        <w:rPr>
          <w:rFonts w:hint="eastAsia" w:ascii="仿宋" w:hAnsi="仿宋" w:eastAsia="仿宋" w:cs="仿宋"/>
          <w:b w:val="0"/>
          <w:bCs w:val="0"/>
          <w:color w:val="auto"/>
          <w:sz w:val="32"/>
          <w:szCs w:val="32"/>
          <w:highlight w:val="none"/>
          <w:lang w:val="en-US" w:eastAsia="zh-CN"/>
        </w:rPr>
        <w:t>虽然将法律知识纳入了党校授课内容和各部门年</w:t>
      </w:r>
      <w:r>
        <w:rPr>
          <w:rFonts w:hint="eastAsia" w:ascii="仿宋" w:hAnsi="仿宋" w:eastAsia="仿宋" w:cs="仿宋"/>
          <w:color w:val="auto"/>
          <w:sz w:val="32"/>
          <w:szCs w:val="32"/>
          <w:highlight w:val="none"/>
          <w:lang w:val="en-US" w:eastAsia="zh-CN"/>
        </w:rPr>
        <w:t>度学习计划，但个别部门的实际学习情况和预期还有差距。存在学习的频次少，学习内容的针对性不高，学习吸收运用的效果差等问题，一定程度上限制了法治建设的发展。</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三、党政主要负责人履行推进法治建设第一责任人职责，加强法治政府建设有关情况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9"/>
        <w:rPr>
          <w:rFonts w:hint="eastAsia" w:ascii="仿宋" w:hAnsi="仿宋" w:eastAsia="仿宋" w:cs="仿宋"/>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（一）充分发挥党委领导核心作用。</w:t>
      </w:r>
      <w:r>
        <w:rPr>
          <w:rFonts w:hint="eastAsia" w:ascii="仿宋_GB2312" w:hAnsi="仿宋_GB2312" w:eastAsia="仿宋_GB2312" w:cs="仿宋_GB2312"/>
          <w:color w:val="auto"/>
          <w:sz w:val="32"/>
          <w:szCs w:val="32"/>
          <w:highlight w:val="none"/>
          <w:lang w:val="en-US" w:eastAsia="zh-CN"/>
        </w:rPr>
        <w:t>严格履行党政主要负责人作为法治政府建设“第一责任人”的职责，将法治建设纳入我县发展总体规划和年度工作计划，与经济发展同部署、同推进、同督促、同考核、同奖惩。2022年以来，听取工作汇报4次，召开专题会议4次，研究法治建设重大问题。召开全面依法治县委员会第五次会议，审议通过《党政主要负责人履行推进法治建设第一责任人职责2022年度工作清单》</w:t>
      </w:r>
      <w:bookmarkStart w:id="0" w:name="_GoBack"/>
      <w:bookmarkEnd w:id="0"/>
      <w:r>
        <w:rPr>
          <w:rFonts w:hint="eastAsia" w:ascii="仿宋_GB2312" w:hAnsi="仿宋_GB2312" w:eastAsia="仿宋_GB2312" w:cs="仿宋_GB2312"/>
          <w:color w:val="auto"/>
          <w:sz w:val="32"/>
          <w:szCs w:val="32"/>
          <w:highlight w:val="none"/>
          <w:lang w:val="en-US" w:eastAsia="zh-CN"/>
        </w:rPr>
        <w:t>《中共安泽县委全面依法治县委员会2022年工作要点》和《安泽县贯彻落实&lt;法治政府建设实施纲要（2021-2025年）的实施方案&gt;》，明确了2022年工作任务，进行了职责划分，切实压紧压实党政领导责任。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（二）扎实推进领导干部学法用法。</w:t>
      </w:r>
      <w:r>
        <w:rPr>
          <w:rFonts w:hint="eastAsia" w:ascii="仿宋_GB2312" w:hAnsi="仿宋_GB2312" w:eastAsia="仿宋_GB2312" w:cs="仿宋_GB2312"/>
          <w:color w:val="auto"/>
          <w:sz w:val="32"/>
          <w:szCs w:val="32"/>
          <w:highlight w:val="none"/>
          <w:lang w:val="en-US" w:eastAsia="zh-CN"/>
        </w:rPr>
        <w:t>瞄准党政领导这个“关键少数”，推动县委县政府领导带头尊法、学法、用法、守法。把学习宣传贯彻习近平法治思想和中央全面依法治国工作会议精神作为2022年的学习工作重点，印发《关于贯彻落实习近平总书记在中央全面依法治国工作会议上的重要讲话精神的任务清单》，把习近平法治思想、中央全面依法治国工作会议精神以及领导、干部法律法规应知应会等知识纳入党委（党组）、中心组、党支部及党小组学习计划，纳入党校培训课程，纳入各级各类干部培训课程，开展轮训学习，要求做到多层次开展，多渠道学习，多方位解读。引导干部将习近平法治思想作为推动工作、化解矛盾、深化改革、促进发展的行动宗旨。同时，注重扩大学法对象这个重点。将法律纳入到党校授课内容和各部门年度学习计划，要求各部门按照学习计划进行学习，确保全县干部职工学法全覆盖，推动学法常态化、规范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（三）严格落实年终述法要求。</w:t>
      </w:r>
      <w:r>
        <w:rPr>
          <w:rFonts w:hint="eastAsia" w:ascii="仿宋_GB2312" w:hAnsi="仿宋_GB2312" w:eastAsia="仿宋_GB2312" w:cs="仿宋_GB2312"/>
          <w:color w:val="auto"/>
          <w:sz w:val="32"/>
          <w:szCs w:val="32"/>
          <w:highlight w:val="none"/>
          <w:lang w:val="en-US" w:eastAsia="zh-CN"/>
        </w:rPr>
        <w:t>我县深入贯彻党的二十大精神，将“履行推进法治建设第一责任人职责，提高法治素养和依法履职能力、推进法治政府建设”作为领导干部年度考核重要内容，推动建立述法结果与干部评价相挂钩的工作机制，切实增强述法工作的自觉性和主动性，不断提升全县党政主要负责人法治素养和依法履职能力。</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jc w:val="left"/>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下一年度推进法治政府建设的主要安排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（一）进一步学习宣传贯彻党的二十大精神和习近平法治思想。</w:t>
      </w:r>
      <w:r>
        <w:rPr>
          <w:rFonts w:hint="eastAsia" w:ascii="仿宋_GB2312" w:hAnsi="仿宋_GB2312" w:eastAsia="仿宋_GB2312" w:cs="仿宋_GB2312"/>
          <w:color w:val="auto"/>
          <w:kern w:val="2"/>
          <w:sz w:val="32"/>
          <w:szCs w:val="32"/>
          <w:highlight w:val="none"/>
          <w:lang w:val="en-US" w:eastAsia="zh-CN" w:bidi="ar-SA"/>
        </w:rPr>
        <w:t>坚持将学习宣传贯彻党的二十大精神与学习贯彻习近平法治思想结合起来，切实增强学习贯彻的思想自觉、政治自觉、行动自觉，并将学习宣传贯彻作为当前和今后一个时期的首要政治任务，把党的二十大精神和习近平法治思想落实到我县经济社会发展全过程、各方面，全力以赴做好当前和今后各项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default" w:ascii="楷体" w:hAnsi="楷体" w:eastAsia="楷体" w:cs="楷体"/>
          <w:b/>
          <w:bCs/>
          <w:color w:val="auto"/>
          <w:kern w:val="2"/>
          <w:sz w:val="32"/>
          <w:szCs w:val="32"/>
          <w:highlight w:val="none"/>
          <w:lang w:val="en-US" w:eastAsia="zh-CN" w:bidi="ar-SA"/>
        </w:rPr>
        <w:t>（二）进一步落实法治建设第一责任人制度。</w:t>
      </w:r>
      <w:r>
        <w:rPr>
          <w:rFonts w:hint="eastAsia" w:ascii="仿宋_GB2312" w:hAnsi="仿宋_GB2312" w:eastAsia="仿宋_GB2312" w:cs="仿宋_GB2312"/>
          <w:color w:val="auto"/>
          <w:kern w:val="2"/>
          <w:sz w:val="32"/>
          <w:szCs w:val="32"/>
          <w:highlight w:val="none"/>
          <w:lang w:val="en-US" w:eastAsia="zh-CN" w:bidi="ar-SA"/>
        </w:rPr>
        <w:t>全面压紧压实党政主要负责人推进法治建设第一责任人职责，坚持落实法治政府建设年度报告制度、“述法”工作报告制度。精心组织实施“八五”普法规划，加强重点法律法规政策学习，持续加大行政决策合法性审查力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default" w:ascii="楷体" w:hAnsi="楷体" w:eastAsia="楷体" w:cs="楷体"/>
          <w:b/>
          <w:bCs/>
          <w:color w:val="auto"/>
          <w:kern w:val="2"/>
          <w:sz w:val="32"/>
          <w:szCs w:val="32"/>
          <w:highlight w:val="none"/>
          <w:lang w:val="en-US" w:eastAsia="zh-CN" w:bidi="ar-SA"/>
        </w:rPr>
        <w:t>（</w:t>
      </w:r>
      <w:r>
        <w:rPr>
          <w:rFonts w:hint="eastAsia" w:ascii="楷体" w:hAnsi="楷体" w:eastAsia="楷体" w:cs="楷体"/>
          <w:b/>
          <w:bCs/>
          <w:color w:val="auto"/>
          <w:kern w:val="2"/>
          <w:sz w:val="32"/>
          <w:szCs w:val="32"/>
          <w:highlight w:val="none"/>
          <w:lang w:val="en-US" w:eastAsia="zh-CN" w:bidi="ar-SA"/>
        </w:rPr>
        <w:t>三</w:t>
      </w:r>
      <w:r>
        <w:rPr>
          <w:rFonts w:hint="default" w:ascii="楷体" w:hAnsi="楷体" w:eastAsia="楷体" w:cs="楷体"/>
          <w:b/>
          <w:bCs/>
          <w:color w:val="auto"/>
          <w:kern w:val="2"/>
          <w:sz w:val="32"/>
          <w:szCs w:val="32"/>
          <w:highlight w:val="none"/>
          <w:lang w:val="en-US" w:eastAsia="zh-CN" w:bidi="ar-SA"/>
        </w:rPr>
        <w:t>）进一步深化基层行政执法体制改革。</w:t>
      </w:r>
      <w:r>
        <w:rPr>
          <w:rFonts w:hint="eastAsia" w:ascii="仿宋_GB2312" w:hAnsi="仿宋_GB2312" w:eastAsia="仿宋_GB2312" w:cs="仿宋_GB2312"/>
          <w:color w:val="auto"/>
          <w:kern w:val="2"/>
          <w:sz w:val="32"/>
          <w:szCs w:val="32"/>
          <w:highlight w:val="none"/>
          <w:lang w:val="en-US" w:eastAsia="zh-CN" w:bidi="ar-SA"/>
        </w:rPr>
        <w:t>深化镇综合行政执法体制改革，加强执法队伍业务指导培训，健全行政执法权限协调机制，加强指导监督工作，提高基层执法能力水平。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default" w:ascii="楷体" w:hAnsi="楷体" w:eastAsia="楷体" w:cs="楷体"/>
          <w:b/>
          <w:bCs/>
          <w:color w:val="auto"/>
          <w:kern w:val="2"/>
          <w:sz w:val="32"/>
          <w:szCs w:val="32"/>
          <w:highlight w:val="none"/>
          <w:lang w:val="en-US" w:eastAsia="zh-CN" w:bidi="ar-SA"/>
        </w:rPr>
        <w:t>（</w:t>
      </w:r>
      <w:r>
        <w:rPr>
          <w:rFonts w:hint="eastAsia" w:ascii="楷体" w:hAnsi="楷体" w:eastAsia="楷体" w:cs="楷体"/>
          <w:b/>
          <w:bCs/>
          <w:color w:val="auto"/>
          <w:kern w:val="2"/>
          <w:sz w:val="32"/>
          <w:szCs w:val="32"/>
          <w:highlight w:val="none"/>
          <w:lang w:val="en-US" w:eastAsia="zh-CN" w:bidi="ar-SA"/>
        </w:rPr>
        <w:t>四</w:t>
      </w:r>
      <w:r>
        <w:rPr>
          <w:rFonts w:hint="default" w:ascii="楷体" w:hAnsi="楷体" w:eastAsia="楷体" w:cs="楷体"/>
          <w:b/>
          <w:bCs/>
          <w:color w:val="auto"/>
          <w:kern w:val="2"/>
          <w:sz w:val="32"/>
          <w:szCs w:val="32"/>
          <w:highlight w:val="none"/>
          <w:lang w:val="en-US" w:eastAsia="zh-CN" w:bidi="ar-SA"/>
        </w:rPr>
        <w:t>）进一步加强法治人才队伍建设。</w:t>
      </w:r>
      <w:r>
        <w:rPr>
          <w:rFonts w:hint="eastAsia" w:ascii="仿宋_GB2312" w:hAnsi="仿宋_GB2312" w:eastAsia="仿宋_GB2312" w:cs="仿宋_GB2312"/>
          <w:color w:val="auto"/>
          <w:kern w:val="2"/>
          <w:sz w:val="32"/>
          <w:szCs w:val="32"/>
          <w:highlight w:val="none"/>
          <w:lang w:val="en-US" w:eastAsia="zh-CN" w:bidi="ar-SA"/>
        </w:rPr>
        <w:t>充分发挥法律顾问、公职律师在重大行政决策中的法律审查把关作用。进一步完善学法培训制度，定期举办领导干部法治专题培训班及依法治县培训班，加强行政执法人员综合知识和执法能力培训，提高执法人员履职能力，推进法治人才队伍正规化、专业化、职业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楷体" w:hAnsi="楷体" w:eastAsia="楷体" w:cs="楷体"/>
          <w:b w:val="0"/>
          <w:bCs w:val="0"/>
          <w:color w:val="auto"/>
          <w:kern w:val="2"/>
          <w:sz w:val="32"/>
          <w:szCs w:val="32"/>
          <w:highlight w:val="none"/>
          <w:lang w:val="en-US" w:eastAsia="zh-CN" w:bidi="ar-SA"/>
        </w:rPr>
      </w:pPr>
      <w:r>
        <w:rPr>
          <w:rFonts w:hint="eastAsia" w:ascii="楷体" w:hAnsi="楷体" w:eastAsia="楷体" w:cs="楷体"/>
          <w:b w:val="0"/>
          <w:bCs w:val="0"/>
          <w:color w:val="auto"/>
          <w:kern w:val="2"/>
          <w:sz w:val="32"/>
          <w:szCs w:val="32"/>
          <w:highlight w:val="non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楷体" w:hAnsi="楷体" w:eastAsia="楷体" w:cs="楷体"/>
          <w:b w:val="0"/>
          <w:bCs w:val="0"/>
          <w:color w:val="auto"/>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3200" w:firstLineChars="10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楷体" w:hAnsi="楷体" w:eastAsia="楷体" w:cs="楷体"/>
          <w:b w:val="0"/>
          <w:bCs w:val="0"/>
          <w:color w:val="auto"/>
          <w:kern w:val="2"/>
          <w:sz w:val="32"/>
          <w:szCs w:val="32"/>
          <w:highlight w:val="none"/>
          <w:lang w:val="en-US" w:eastAsia="zh-CN" w:bidi="ar-SA"/>
        </w:rPr>
        <w:tab/>
      </w:r>
      <w:r>
        <w:rPr>
          <w:rFonts w:hint="eastAsia" w:ascii="楷体" w:hAnsi="楷体" w:eastAsia="楷体" w:cs="楷体"/>
          <w:b w:val="0"/>
          <w:bCs w:val="0"/>
          <w:color w:val="auto"/>
          <w:kern w:val="2"/>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val="en-US" w:eastAsia="zh-CN"/>
        </w:rPr>
        <w:t xml:space="preserve">安泽县人民政府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760" w:firstLineChars="18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t>2023年4月6日</w:t>
      </w:r>
      <w:r>
        <w:rPr>
          <w:rFonts w:hint="eastAsia" w:ascii="仿宋_GB2312" w:hAnsi="仿宋_GB2312" w:eastAsia="仿宋_GB2312" w:cs="仿宋_GB2312"/>
          <w:sz w:val="32"/>
          <w:szCs w:val="32"/>
          <w:lang w:val="en-US" w:eastAsia="zh-CN"/>
        </w:rPr>
        <w:t xml:space="preserve">      </w:t>
      </w:r>
    </w:p>
    <w:p>
      <w:pPr>
        <w:ind w:firstLine="320" w:firstLineChars="100"/>
        <w:jc w:val="left"/>
        <w:rPr>
          <w:rFonts w:hint="eastAsia" w:ascii="仿宋" w:hAnsi="仿宋" w:eastAsia="仿宋" w:cs="仿宋"/>
          <w:sz w:val="32"/>
          <w:szCs w:val="32"/>
          <w:u w:val="none"/>
          <w:lang w:eastAsia="zh-CN"/>
        </w:rPr>
      </w:pPr>
    </w:p>
    <w:p>
      <w:pPr>
        <w:ind w:firstLine="320" w:firstLineChars="100"/>
        <w:jc w:val="left"/>
        <w:rPr>
          <w:rFonts w:hint="eastAsia" w:ascii="仿宋" w:hAnsi="仿宋" w:eastAsia="仿宋" w:cs="仿宋"/>
          <w:sz w:val="32"/>
          <w:szCs w:val="32"/>
          <w:u w:val="none"/>
          <w:lang w:eastAsia="zh-CN"/>
        </w:rPr>
      </w:pPr>
    </w:p>
    <w:p>
      <w:pPr>
        <w:ind w:firstLine="320" w:firstLineChars="100"/>
        <w:jc w:val="left"/>
        <w:rPr>
          <w:rFonts w:hint="eastAsia" w:ascii="仿宋" w:hAnsi="仿宋" w:eastAsia="仿宋" w:cs="仿宋"/>
          <w:sz w:val="32"/>
          <w:szCs w:val="32"/>
          <w:u w:val="none"/>
          <w:lang w:eastAsia="zh-CN"/>
        </w:rPr>
      </w:pPr>
    </w:p>
    <w:p>
      <w:pPr>
        <w:ind w:firstLine="320" w:firstLineChars="100"/>
        <w:jc w:val="left"/>
        <w:rPr>
          <w:rFonts w:hint="eastAsia" w:ascii="仿宋" w:hAnsi="仿宋" w:eastAsia="仿宋" w:cs="仿宋"/>
          <w:sz w:val="32"/>
          <w:szCs w:val="32"/>
          <w:u w:val="none"/>
          <w:lang w:eastAsia="zh-CN"/>
        </w:rPr>
      </w:pPr>
    </w:p>
    <w:p>
      <w:pPr>
        <w:ind w:firstLine="320" w:firstLineChars="100"/>
        <w:jc w:val="left"/>
        <w:rPr>
          <w:rFonts w:hint="eastAsia" w:ascii="仿宋" w:hAnsi="仿宋" w:eastAsia="仿宋" w:cs="仿宋"/>
          <w:sz w:val="32"/>
          <w:szCs w:val="32"/>
          <w:u w:val="none"/>
          <w:lang w:eastAsia="zh-CN"/>
        </w:rPr>
      </w:pPr>
    </w:p>
    <w:p>
      <w:pPr>
        <w:ind w:firstLine="320" w:firstLineChars="100"/>
        <w:jc w:val="left"/>
        <w:rPr>
          <w:rFonts w:hint="eastAsia" w:ascii="仿宋" w:hAnsi="仿宋" w:eastAsia="仿宋" w:cs="仿宋"/>
          <w:sz w:val="32"/>
          <w:szCs w:val="32"/>
          <w:u w:val="none"/>
          <w:lang w:eastAsia="zh-CN"/>
        </w:rPr>
      </w:pPr>
    </w:p>
    <w:p>
      <w:pPr>
        <w:ind w:firstLine="320" w:firstLineChars="100"/>
        <w:jc w:val="left"/>
        <w:rPr>
          <w:rFonts w:hint="eastAsia" w:ascii="仿宋" w:hAnsi="仿宋" w:eastAsia="仿宋" w:cs="仿宋"/>
          <w:sz w:val="32"/>
          <w:szCs w:val="32"/>
          <w:u w:val="none"/>
          <w:lang w:eastAsia="zh-CN"/>
        </w:rPr>
      </w:pPr>
    </w:p>
    <w:p>
      <w:pPr>
        <w:ind w:firstLine="320" w:firstLineChars="100"/>
        <w:jc w:val="left"/>
        <w:rPr>
          <w:rFonts w:hint="eastAsia" w:ascii="仿宋" w:hAnsi="仿宋" w:eastAsia="仿宋" w:cs="仿宋"/>
          <w:sz w:val="32"/>
          <w:szCs w:val="32"/>
          <w:u w:val="none"/>
          <w:lang w:eastAsia="zh-CN"/>
        </w:rPr>
      </w:pPr>
    </w:p>
    <w:p>
      <w:pPr>
        <w:ind w:firstLine="320" w:firstLineChars="100"/>
        <w:jc w:val="left"/>
        <w:rPr>
          <w:rFonts w:hint="eastAsia" w:ascii="仿宋" w:hAnsi="仿宋" w:eastAsia="仿宋" w:cs="仿宋"/>
          <w:sz w:val="32"/>
          <w:szCs w:val="32"/>
          <w:u w:val="none"/>
          <w:lang w:eastAsia="zh-CN"/>
        </w:rPr>
      </w:pPr>
    </w:p>
    <w:p>
      <w:pPr>
        <w:ind w:firstLine="320" w:firstLineChars="100"/>
        <w:jc w:val="left"/>
        <w:rPr>
          <w:rFonts w:hint="eastAsia" w:ascii="仿宋" w:hAnsi="仿宋" w:eastAsia="仿宋" w:cs="仿宋"/>
          <w:sz w:val="32"/>
          <w:szCs w:val="32"/>
          <w:u w:val="none"/>
          <w:lang w:eastAsia="zh-CN"/>
        </w:rPr>
      </w:pPr>
    </w:p>
    <w:p>
      <w:pPr>
        <w:ind w:firstLine="320" w:firstLineChars="100"/>
        <w:jc w:val="left"/>
        <w:rPr>
          <w:rFonts w:hint="eastAsia" w:ascii="仿宋" w:hAnsi="仿宋" w:eastAsia="仿宋" w:cs="仿宋"/>
          <w:sz w:val="32"/>
          <w:szCs w:val="32"/>
          <w:u w:val="none"/>
          <w:lang w:eastAsia="zh-CN"/>
        </w:rPr>
      </w:pPr>
    </w:p>
    <w:p>
      <w:pPr>
        <w:ind w:firstLine="320" w:firstLineChars="100"/>
        <w:jc w:val="left"/>
        <w:rPr>
          <w:rFonts w:hint="eastAsia" w:ascii="仿宋" w:hAnsi="仿宋" w:eastAsia="仿宋" w:cs="仿宋"/>
          <w:sz w:val="32"/>
          <w:szCs w:val="32"/>
          <w:u w:val="none"/>
          <w:lang w:eastAsia="zh-CN"/>
        </w:rPr>
      </w:pPr>
    </w:p>
    <w:p>
      <w:pPr>
        <w:ind w:firstLine="320" w:firstLineChars="100"/>
        <w:jc w:val="left"/>
        <w:rPr>
          <w:rFonts w:hint="eastAsia" w:ascii="仿宋" w:hAnsi="仿宋" w:eastAsia="仿宋" w:cs="仿宋"/>
          <w:sz w:val="32"/>
          <w:szCs w:val="32"/>
          <w:u w:val="none"/>
          <w:lang w:eastAsia="zh-CN"/>
        </w:rPr>
      </w:pPr>
    </w:p>
    <w:p>
      <w:pPr>
        <w:ind w:firstLine="320" w:firstLineChars="100"/>
        <w:jc w:val="left"/>
        <w:rPr>
          <w:rFonts w:hint="eastAsia" w:ascii="仿宋" w:hAnsi="仿宋" w:eastAsia="仿宋" w:cs="仿宋"/>
          <w:sz w:val="32"/>
          <w:szCs w:val="32"/>
          <w:u w:val="none"/>
          <w:lang w:eastAsia="zh-CN"/>
        </w:rPr>
      </w:pPr>
    </w:p>
    <w:p>
      <w:pPr>
        <w:ind w:firstLine="320" w:firstLineChars="100"/>
        <w:jc w:val="left"/>
        <w:rPr>
          <w:rFonts w:hint="eastAsia" w:ascii="仿宋" w:hAnsi="仿宋" w:eastAsia="仿宋" w:cs="仿宋"/>
          <w:sz w:val="32"/>
          <w:szCs w:val="32"/>
          <w:u w:val="none"/>
          <w:lang w:eastAsia="zh-CN"/>
        </w:rPr>
      </w:pPr>
    </w:p>
    <w:p>
      <w:pPr>
        <w:ind w:firstLine="320" w:firstLineChars="100"/>
        <w:jc w:val="left"/>
        <w:rPr>
          <w:rFonts w:hint="eastAsia" w:ascii="仿宋" w:hAnsi="仿宋" w:eastAsia="仿宋" w:cs="仿宋"/>
          <w:sz w:val="32"/>
          <w:szCs w:val="32"/>
          <w:u w:val="none"/>
          <w:lang w:eastAsia="zh-CN"/>
        </w:rPr>
      </w:pPr>
    </w:p>
    <w:p>
      <w:pPr>
        <w:ind w:firstLine="320" w:firstLineChars="100"/>
        <w:jc w:val="left"/>
        <w:rPr>
          <w:rFonts w:hint="eastAsia" w:ascii="仿宋" w:hAnsi="仿宋" w:eastAsia="仿宋" w:cs="仿宋"/>
          <w:sz w:val="32"/>
          <w:szCs w:val="32"/>
          <w:u w:val="none"/>
          <w:lang w:eastAsia="zh-CN"/>
        </w:rPr>
      </w:pPr>
    </w:p>
    <w:p>
      <w:pPr>
        <w:keepNext w:val="0"/>
        <w:keepLines w:val="0"/>
        <w:pageBreakBefore w:val="0"/>
        <w:kinsoku/>
        <w:wordWrap/>
        <w:overflowPunct/>
        <w:topLinePunct w:val="0"/>
        <w:autoSpaceDE/>
        <w:autoSpaceDN/>
        <w:bidi w:val="0"/>
        <w:adjustRightInd/>
        <w:snapToGrid/>
        <w:spacing w:line="580" w:lineRule="exact"/>
        <w:textAlignment w:val="auto"/>
      </w:pPr>
    </w:p>
    <w:sectPr>
      <w:footerReference r:id="rId3" w:type="default"/>
      <w:pgSz w:w="11906" w:h="16838"/>
      <w:pgMar w:top="1440" w:right="1576" w:bottom="1440" w:left="1576" w:header="851" w:footer="82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794487"/>
    <w:multiLevelType w:val="singleLevel"/>
    <w:tmpl w:val="39794487"/>
    <w:lvl w:ilvl="0" w:tentative="0">
      <w:start w:val="4"/>
      <w:numFmt w:val="chineseCounting"/>
      <w:suff w:val="nothing"/>
      <w:lvlText w:val="%1、"/>
      <w:lvlJc w:val="left"/>
      <w:rPr>
        <w:rFonts w:hint="eastAsia"/>
      </w:rPr>
    </w:lvl>
  </w:abstractNum>
  <w:abstractNum w:abstractNumId="1">
    <w:nsid w:val="59EB15D7"/>
    <w:multiLevelType w:val="multilevel"/>
    <w:tmpl w:val="59EB15D7"/>
    <w:lvl w:ilvl="0" w:tentative="0">
      <w:start w:val="1"/>
      <w:numFmt w:val="lowerLetter"/>
      <w:suff w:val="nothing"/>
      <w:lvlText w:val="（%1）"/>
      <w:lvlJc w:val="left"/>
      <w:pPr>
        <w:tabs>
          <w:tab w:val="left" w:pos="420"/>
        </w:tabs>
        <w:ind w:left="0" w:firstLine="40"/>
      </w:pPr>
      <w:rPr>
        <w:rFonts w:hint="default" w:ascii="宋体" w:hAnsi="宋体" w:eastAsia="宋体" w:cs="宋体"/>
      </w:rPr>
    </w:lvl>
    <w:lvl w:ilvl="1" w:tentative="0">
      <w:start w:val="1"/>
      <w:numFmt w:val="lowerLetter"/>
      <w:pStyle w:val="2"/>
      <w:lvlText w:val="(%2)"/>
      <w:lvlJc w:val="left"/>
      <w:pPr>
        <w:ind w:left="840" w:hanging="420"/>
      </w:pPr>
      <w:rPr>
        <w:rFonts w:hint="eastAsia"/>
      </w:rPr>
    </w:lvl>
    <w:lvl w:ilvl="2" w:tentative="0">
      <w:start w:val="1"/>
      <w:numFmt w:val="lowerRoman"/>
      <w:lvlText w:val="%3."/>
      <w:lvlJc w:val="right"/>
      <w:pPr>
        <w:tabs>
          <w:tab w:val="left" w:pos="420"/>
        </w:tabs>
        <w:ind w:left="630" w:hanging="59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lNWQwODIwZDJiNjcxZDM1MjMwNGJmNDU3NmQ0MGIifQ=="/>
  </w:docVars>
  <w:rsids>
    <w:rsidRoot w:val="7FC44D26"/>
    <w:rsid w:val="0F874020"/>
    <w:rsid w:val="12F26309"/>
    <w:rsid w:val="139E4666"/>
    <w:rsid w:val="17C91A07"/>
    <w:rsid w:val="19AA4992"/>
    <w:rsid w:val="1D606F73"/>
    <w:rsid w:val="1E771668"/>
    <w:rsid w:val="230E3E3D"/>
    <w:rsid w:val="27A20546"/>
    <w:rsid w:val="29F15C38"/>
    <w:rsid w:val="2D160C59"/>
    <w:rsid w:val="419227B8"/>
    <w:rsid w:val="47596E9F"/>
    <w:rsid w:val="4F5F10C3"/>
    <w:rsid w:val="500E6D54"/>
    <w:rsid w:val="51001FFC"/>
    <w:rsid w:val="6AD47A35"/>
    <w:rsid w:val="73014D8C"/>
    <w:rsid w:val="7D0328E9"/>
    <w:rsid w:val="7E4F49A9"/>
    <w:rsid w:val="7FC44D26"/>
    <w:rsid w:val="7FD90AC3"/>
    <w:rsid w:val="DEDBEBFB"/>
    <w:rsid w:val="FFDC6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numPr>
        <w:ilvl w:val="1"/>
        <w:numId w:val="1"/>
      </w:numPr>
      <w:tabs>
        <w:tab w:val="left" w:pos="840"/>
        <w:tab w:val="left" w:pos="1140"/>
      </w:tabs>
      <w:spacing w:beforeLines="50"/>
      <w:ind w:firstLine="0" w:firstLineChars="0"/>
    </w:pPr>
    <w:rPr>
      <w:rFonts w:ascii="Times New Roman" w:hAnsi="Times New Roman" w:cs="Times New Roman"/>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5015</Words>
  <Characters>5165</Characters>
  <Lines>0</Lines>
  <Paragraphs>0</Paragraphs>
  <TotalTime>115</TotalTime>
  <ScaleCrop>false</ScaleCrop>
  <LinksUpToDate>false</LinksUpToDate>
  <CharactersWithSpaces>5212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2023-03-31T10:04:00Z</dcterms:created>
  <dc:creator>Administrator</dc:creator>
  <cp:lastModifiedBy>晨曦</cp:lastModifiedBy>
  <cp:lastPrinted>2023-04-13T01:59:00Z</cp:lastPrinted>
  <dcterms:modified xsi:type="dcterms:W3CDTF">2023-04-13T06:41:43Z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E641CB1B0F5A404EB67F528CB661278B</vt:lpwstr>
  </property>
</Properties>
</file>