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40" w:lineRule="auto"/>
        <w:ind w:firstLine="0" w:firstLineChars="0"/>
        <w:rPr>
          <w:rFonts w:ascii="楷体" w:hAnsi="楷体" w:eastAsia="楷体" w:cs="楷体"/>
          <w:b/>
          <w:sz w:val="36"/>
          <w:szCs w:val="36"/>
          <w:lang w:eastAsia="zh-CN"/>
        </w:rPr>
      </w:pPr>
      <w:bookmarkStart w:id="0" w:name="_Hlk152534502"/>
      <w:bookmarkEnd w:id="0"/>
      <w:r>
        <w:cr/>
      </w:r>
      <w:r>
        <w:cr/>
      </w:r>
    </w:p>
    <w:p>
      <w:pPr>
        <w:widowControl w:val="0"/>
        <w:spacing w:line="800" w:lineRule="exact"/>
        <w:ind w:firstLine="0" w:firstLineChars="0"/>
        <w:jc w:val="center"/>
        <w:rPr>
          <w:rFonts w:ascii="宋体" w:hAnsi="宋体" w:eastAsia="宋体" w:cs="楷体"/>
          <w:b/>
          <w:sz w:val="48"/>
          <w:szCs w:val="48"/>
          <w:lang w:eastAsia="zh-CN"/>
        </w:rPr>
      </w:pPr>
      <w:r>
        <w:rPr>
          <w:rFonts w:hint="eastAsia" w:ascii="宋体" w:hAnsi="宋体" w:eastAsia="宋体" w:cs="楷体"/>
          <w:b/>
          <w:sz w:val="48"/>
          <w:szCs w:val="48"/>
          <w:lang w:eastAsia="zh-CN"/>
        </w:rPr>
        <w:t>安泽县2</w:t>
      </w:r>
      <w:r>
        <w:rPr>
          <w:rFonts w:ascii="宋体" w:hAnsi="宋体" w:eastAsia="宋体" w:cs="楷体"/>
          <w:b/>
          <w:sz w:val="48"/>
          <w:szCs w:val="48"/>
          <w:lang w:eastAsia="zh-CN"/>
        </w:rPr>
        <w:t>022</w:t>
      </w:r>
      <w:r>
        <w:rPr>
          <w:rFonts w:hint="eastAsia" w:ascii="宋体" w:hAnsi="宋体" w:eastAsia="宋体" w:cs="楷体"/>
          <w:b/>
          <w:sz w:val="48"/>
          <w:szCs w:val="48"/>
          <w:lang w:eastAsia="zh-CN"/>
        </w:rPr>
        <w:t>年石渠村乡村振兴示范村建设项目支出</w:t>
      </w:r>
      <w:r>
        <w:rPr>
          <w:rFonts w:hint="eastAsia" w:ascii="宋体" w:hAnsi="宋体" w:eastAsia="宋体" w:cs="黑体"/>
          <w:b/>
          <w:sz w:val="48"/>
          <w:szCs w:val="48"/>
          <w:lang w:eastAsia="zh-CN"/>
        </w:rPr>
        <w:t>绩效评价报告</w:t>
      </w:r>
    </w:p>
    <w:p>
      <w:pPr>
        <w:widowControl w:val="0"/>
        <w:spacing w:line="700" w:lineRule="exact"/>
        <w:ind w:firstLine="640"/>
        <w:rPr>
          <w:lang w:eastAsia="zh-CN"/>
        </w:rPr>
      </w:pPr>
      <w:r>
        <w:rPr>
          <w:lang w:eastAsia="zh-CN"/>
        </w:rPr>
        <w:cr/>
      </w:r>
    </w:p>
    <w:p>
      <w:pPr>
        <w:widowControl w:val="0"/>
        <w:spacing w:line="700" w:lineRule="exact"/>
        <w:ind w:firstLine="640"/>
        <w:rPr>
          <w:lang w:eastAsia="zh-CN"/>
        </w:rPr>
      </w:pPr>
    </w:p>
    <w:p>
      <w:pPr>
        <w:widowControl w:val="0"/>
        <w:spacing w:line="700" w:lineRule="exact"/>
        <w:ind w:firstLine="640"/>
        <w:rPr>
          <w:rFonts w:ascii="宋体" w:hAnsi="宋体" w:eastAsia="宋体"/>
          <w:b/>
          <w:bCs/>
          <w:lang w:eastAsia="zh-CN"/>
        </w:rPr>
      </w:pPr>
      <w:r>
        <w:rPr>
          <w:lang w:eastAsia="zh-CN"/>
        </w:rPr>
        <w:cr/>
      </w:r>
      <w:r>
        <w:rPr>
          <w:lang w:eastAsia="zh-CN"/>
        </w:rPr>
        <w:cr/>
      </w:r>
      <w:r>
        <w:rPr>
          <w:lang w:eastAsia="zh-CN"/>
        </w:rPr>
        <w:t xml:space="preserve">  </w:t>
      </w:r>
      <w:r>
        <w:rPr>
          <w:rFonts w:hint="eastAsia" w:ascii="宋体" w:hAnsi="宋体" w:eastAsia="宋体"/>
          <w:b/>
          <w:bCs/>
          <w:lang w:eastAsia="zh-CN"/>
        </w:rPr>
        <w:t>主管部门：安泽县和川镇人民政府</w:t>
      </w:r>
      <w:r>
        <w:rPr>
          <w:rFonts w:ascii="宋体" w:hAnsi="宋体" w:eastAsia="宋体"/>
          <w:b/>
          <w:bCs/>
          <w:lang w:eastAsia="zh-CN"/>
        </w:rPr>
        <w:cr/>
      </w:r>
      <w:r>
        <w:rPr>
          <w:rFonts w:ascii="宋体" w:hAnsi="宋体" w:eastAsia="宋体"/>
          <w:b/>
          <w:bCs/>
          <w:lang w:eastAsia="zh-CN"/>
        </w:rPr>
        <w:t xml:space="preserve">  </w:t>
      </w:r>
      <w:r>
        <w:rPr>
          <w:rFonts w:hint="eastAsia" w:ascii="宋体" w:hAnsi="宋体" w:eastAsia="宋体"/>
          <w:b/>
          <w:bCs/>
          <w:lang w:eastAsia="zh-CN"/>
        </w:rPr>
        <w:t>实施单位：安泽县和川镇人民政府</w:t>
      </w:r>
    </w:p>
    <w:p>
      <w:pPr>
        <w:widowControl w:val="0"/>
        <w:spacing w:line="700" w:lineRule="exact"/>
        <w:ind w:firstLine="321" w:firstLineChars="100"/>
        <w:rPr>
          <w:rFonts w:ascii="宋体" w:hAnsi="宋体" w:eastAsia="宋体"/>
          <w:b/>
          <w:bCs/>
          <w:lang w:eastAsia="zh-CN"/>
        </w:rPr>
      </w:pPr>
      <w:r>
        <w:rPr>
          <w:rFonts w:hint="eastAsia" w:ascii="宋体" w:hAnsi="宋体" w:eastAsia="宋体"/>
          <w:b/>
          <w:bCs/>
          <w:lang w:eastAsia="zh-CN"/>
        </w:rPr>
        <w:t>委托单位：安泽县财政局</w:t>
      </w:r>
    </w:p>
    <w:p>
      <w:pPr>
        <w:widowControl w:val="0"/>
        <w:spacing w:line="700" w:lineRule="exact"/>
        <w:ind w:firstLine="321" w:firstLineChars="100"/>
        <w:rPr>
          <w:rFonts w:ascii="宋体" w:hAnsi="宋体" w:eastAsia="宋体"/>
          <w:b/>
          <w:bCs/>
          <w:lang w:eastAsia="zh-CN"/>
        </w:rPr>
      </w:pPr>
      <w:r>
        <w:rPr>
          <w:rFonts w:hint="eastAsia" w:ascii="宋体" w:hAnsi="宋体" w:eastAsia="宋体"/>
          <w:b/>
          <w:bCs/>
          <w:lang w:eastAsia="zh-CN"/>
        </w:rPr>
        <w:t>评价机构：山西天晨资产评估有限公司</w:t>
      </w:r>
    </w:p>
    <w:p>
      <w:pPr>
        <w:widowControl w:val="0"/>
        <w:spacing w:line="700" w:lineRule="exact"/>
        <w:ind w:firstLine="321" w:firstLineChars="100"/>
        <w:rPr>
          <w:lang w:eastAsia="zh-CN"/>
        </w:rPr>
      </w:pPr>
      <w:r>
        <w:rPr>
          <w:rFonts w:hint="eastAsia" w:ascii="宋体" w:hAnsi="宋体" w:eastAsia="宋体"/>
          <w:b/>
          <w:bCs/>
          <w:lang w:eastAsia="zh-CN"/>
        </w:rPr>
        <w:t>主 评 人：</w:t>
      </w:r>
    </w:p>
    <w:p>
      <w:pPr>
        <w:widowControl w:val="0"/>
        <w:spacing w:line="240" w:lineRule="auto"/>
        <w:ind w:firstLine="0" w:firstLineChars="0"/>
        <w:rPr>
          <w:lang w:eastAsia="zh-CN"/>
        </w:rPr>
      </w:pPr>
    </w:p>
    <w:p>
      <w:pPr>
        <w:widowControl w:val="0"/>
        <w:spacing w:line="240" w:lineRule="auto"/>
        <w:ind w:firstLine="0" w:firstLineChars="0"/>
        <w:rPr>
          <w:rFonts w:ascii="方正小标宋简体" w:eastAsia="方正小标宋简体"/>
          <w:szCs w:val="32"/>
          <w:lang w:eastAsia="zh-CN"/>
        </w:rPr>
      </w:pPr>
    </w:p>
    <w:p>
      <w:pPr>
        <w:widowControl w:val="0"/>
        <w:spacing w:line="240" w:lineRule="auto"/>
        <w:ind w:firstLine="0" w:firstLineChars="0"/>
        <w:jc w:val="center"/>
        <w:rPr>
          <w:rFonts w:cs="仿宋"/>
          <w:b/>
          <w:bCs/>
          <w:szCs w:val="32"/>
          <w:lang w:eastAsia="zh-CN"/>
        </w:rPr>
      </w:pPr>
    </w:p>
    <w:p>
      <w:pPr>
        <w:widowControl w:val="0"/>
        <w:spacing w:line="240" w:lineRule="auto"/>
        <w:ind w:firstLine="0" w:firstLineChars="0"/>
        <w:jc w:val="center"/>
        <w:rPr>
          <w:rFonts w:cs="黑体"/>
          <w:b/>
          <w:bCs/>
          <w:szCs w:val="32"/>
          <w:lang w:eastAsia="zh-CN"/>
        </w:rPr>
      </w:pPr>
      <w:r>
        <w:rPr>
          <w:rFonts w:hint="eastAsia" w:ascii="宋体" w:hAnsi="宋体" w:eastAsia="宋体" w:cs="仿宋"/>
          <w:b/>
          <w:bCs/>
          <w:szCs w:val="32"/>
          <w:lang w:eastAsia="zh-CN"/>
        </w:rPr>
        <w:t>二〇二三年十二月</w:t>
      </w:r>
      <w:r>
        <w:rPr>
          <w:rFonts w:hint="eastAsia" w:ascii="宋体" w:hAnsi="宋体" w:eastAsia="宋体" w:cs="黑体"/>
          <w:szCs w:val="32"/>
          <w:lang w:eastAsia="zh-CN"/>
        </w:rPr>
        <w:cr/>
      </w:r>
      <w:r>
        <w:rPr>
          <w:rFonts w:hint="eastAsia" w:cs="黑体"/>
          <w:b/>
          <w:bCs/>
          <w:szCs w:val="32"/>
          <w:lang w:eastAsia="zh-CN"/>
        </w:rPr>
        <w:br w:type="page"/>
      </w:r>
    </w:p>
    <w:p>
      <w:pPr>
        <w:widowControl w:val="0"/>
        <w:spacing w:line="240" w:lineRule="auto"/>
        <w:ind w:firstLine="0" w:firstLineChars="0"/>
        <w:jc w:val="center"/>
        <w:rPr>
          <w:rFonts w:ascii="宋体" w:hAnsi="宋体" w:eastAsia="宋体" w:cs="宋体"/>
          <w:b/>
          <w:bCs/>
          <w:sz w:val="36"/>
          <w:szCs w:val="36"/>
          <w:lang w:eastAsia="zh-CN"/>
        </w:rPr>
      </w:pPr>
      <w:r>
        <w:rPr>
          <w:rFonts w:hint="eastAsia" w:ascii="宋体" w:hAnsi="宋体" w:eastAsia="宋体" w:cs="宋体"/>
          <w:b/>
          <w:bCs/>
          <w:sz w:val="36"/>
          <w:szCs w:val="36"/>
          <w:lang w:eastAsia="zh-CN"/>
        </w:rPr>
        <w:t>目 录</w:t>
      </w:r>
    </w:p>
    <w:p>
      <w:pPr>
        <w:pStyle w:val="17"/>
        <w:widowControl w:val="0"/>
        <w:tabs>
          <w:tab w:val="right" w:leader="dot" w:pos="8296"/>
        </w:tabs>
        <w:spacing w:line="560" w:lineRule="exact"/>
        <w:ind w:firstLine="0" w:firstLineChars="0"/>
        <w:rPr>
          <w:color w:val="auto"/>
          <w:kern w:val="2"/>
          <w:sz w:val="21"/>
          <w:lang w:eastAsia="zh-CN"/>
        </w:rPr>
      </w:pPr>
      <w:r>
        <w:rPr>
          <w:rFonts w:hint="eastAsia" w:cs="仿宋"/>
          <w:szCs w:val="32"/>
        </w:rPr>
        <w:fldChar w:fldCharType="begin"/>
      </w:r>
      <w:r>
        <w:rPr>
          <w:rFonts w:hint="eastAsia" w:cs="仿宋"/>
          <w:szCs w:val="32"/>
        </w:rPr>
        <w:instrText xml:space="preserve"> TOC \o "1-3" \h \z \u </w:instrText>
      </w:r>
      <w:r>
        <w:rPr>
          <w:rFonts w:hint="eastAsia" w:cs="仿宋"/>
          <w:szCs w:val="32"/>
        </w:rPr>
        <w:fldChar w:fldCharType="separate"/>
      </w:r>
      <w:r>
        <w:fldChar w:fldCharType="begin"/>
      </w:r>
      <w:r>
        <w:instrText xml:space="preserve"> HYPERLINK \l "_Toc97086024" </w:instrText>
      </w:r>
      <w:r>
        <w:fldChar w:fldCharType="separate"/>
      </w:r>
      <w:r>
        <w:rPr>
          <w:rStyle w:val="29"/>
          <w:rFonts w:hint="eastAsia" w:cs="宋体"/>
          <w:lang w:eastAsia="zh-CN"/>
        </w:rPr>
        <w:t>摘要</w:t>
      </w:r>
      <w:r>
        <w:tab/>
      </w:r>
      <w:r>
        <w:fldChar w:fldCharType="begin"/>
      </w:r>
      <w:r>
        <w:instrText xml:space="preserve"> PAGEREF _Toc97086024 \h </w:instrText>
      </w:r>
      <w:r>
        <w:fldChar w:fldCharType="separate"/>
      </w:r>
      <w:r>
        <w:t>I</w:t>
      </w:r>
      <w:r>
        <w:fldChar w:fldCharType="end"/>
      </w:r>
      <w: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"_Toc97086034" </w:instrText>
      </w:r>
      <w:r>
        <w:fldChar w:fldCharType="separate"/>
      </w:r>
      <w:r>
        <w:rPr>
          <w:rStyle w:val="29"/>
          <w:rFonts w:hint="eastAsia"/>
          <w:lang w:eastAsia="zh-CN"/>
        </w:rPr>
        <w:t>一、基本情况</w:t>
      </w:r>
      <w:r>
        <w:tab/>
      </w:r>
      <w:r>
        <w:fldChar w:fldCharType="begin"/>
      </w:r>
      <w:r>
        <w:instrText xml:space="preserve"> PAGEREF _Toc97086034 \h </w:instrText>
      </w:r>
      <w:r>
        <w:fldChar w:fldCharType="separate"/>
      </w:r>
      <w:r>
        <w:t>1</w:t>
      </w:r>
      <w:r>
        <w:fldChar w:fldCharType="end"/>
      </w:r>
      <w: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"_Toc97086035" </w:instrText>
      </w:r>
      <w:r>
        <w:fldChar w:fldCharType="separate"/>
      </w:r>
      <w:r>
        <w:rPr>
          <w:rStyle w:val="29"/>
          <w:rFonts w:hint="eastAsia" w:ascii="仿宋" w:hAnsi="仿宋" w:eastAsia="仿宋"/>
        </w:rPr>
        <w:t>（一）项目概况</w:t>
      </w:r>
      <w:r>
        <w:rPr>
          <w:rFonts w:ascii="仿宋" w:hAnsi="仿宋" w:eastAsia="仿宋"/>
        </w:rPr>
        <w:tab/>
      </w:r>
      <w:r>
        <w:rPr>
          <w:rFonts w:ascii="仿宋" w:hAnsi="仿宋" w:eastAsia="仿宋"/>
        </w:rPr>
        <w:fldChar w:fldCharType="begin"/>
      </w:r>
      <w:r>
        <w:rPr>
          <w:rFonts w:ascii="仿宋" w:hAnsi="仿宋" w:eastAsia="仿宋"/>
        </w:rPr>
        <w:instrText xml:space="preserve"> PAGEREF _Toc97086035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rPr>
      </w:pPr>
      <w:r>
        <w:fldChar w:fldCharType="begin"/>
      </w:r>
      <w:r>
        <w:instrText xml:space="preserve"> HYPERLINK \l "_Toc97086041" </w:instrText>
      </w:r>
      <w:r>
        <w:fldChar w:fldCharType="separate"/>
      </w:r>
      <w:r>
        <w:rPr>
          <w:rStyle w:val="29"/>
          <w:rFonts w:hint="eastAsia" w:ascii="仿宋" w:hAnsi="仿宋" w:eastAsia="仿宋"/>
        </w:rPr>
        <w:t>（二）资金投入和使用情况</w:t>
      </w:r>
      <w:r>
        <w:rPr>
          <w:rFonts w:ascii="仿宋" w:hAnsi="仿宋" w:eastAsia="仿宋"/>
        </w:rPr>
        <w:tab/>
      </w:r>
      <w:r>
        <w:rPr>
          <w:rFonts w:ascii="仿宋" w:hAnsi="仿宋" w:eastAsia="仿宋"/>
        </w:rPr>
        <w:t>5</w:t>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rPr>
      </w:pPr>
      <w:r>
        <w:fldChar w:fldCharType="begin"/>
      </w:r>
      <w:r>
        <w:instrText xml:space="preserve"> HYPERLINK \l "_Toc97086041" </w:instrText>
      </w:r>
      <w:r>
        <w:fldChar w:fldCharType="separate"/>
      </w:r>
      <w:r>
        <w:rPr>
          <w:rStyle w:val="29"/>
          <w:rFonts w:hint="eastAsia" w:ascii="仿宋" w:hAnsi="仿宋" w:eastAsia="仿宋"/>
        </w:rPr>
        <w:t>（三）项目绩效目标</w:t>
      </w:r>
      <w:r>
        <w:rPr>
          <w:rFonts w:ascii="仿宋" w:hAnsi="仿宋" w:eastAsia="仿宋"/>
        </w:rPr>
        <w:tab/>
      </w:r>
      <w:r>
        <w:rPr>
          <w:rFonts w:ascii="仿宋" w:hAnsi="仿宋" w:eastAsia="仿宋"/>
        </w:rPr>
        <w:t>7</w:t>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rPr>
      </w:pPr>
      <w:r>
        <w:fldChar w:fldCharType="begin"/>
      </w:r>
      <w:r>
        <w:instrText xml:space="preserve"> HYPERLINK \l "_Toc97086041" </w:instrText>
      </w:r>
      <w:r>
        <w:fldChar w:fldCharType="separate"/>
      </w:r>
      <w:r>
        <w:rPr>
          <w:rStyle w:val="29"/>
          <w:rFonts w:hint="eastAsia" w:ascii="仿宋" w:hAnsi="仿宋" w:eastAsia="仿宋"/>
        </w:rPr>
        <w:t>（四）项目内容及实施情况</w:t>
      </w:r>
      <w:r>
        <w:rPr>
          <w:rFonts w:ascii="仿宋" w:hAnsi="仿宋" w:eastAsia="仿宋"/>
        </w:rPr>
        <w:tab/>
      </w:r>
      <w:r>
        <w:rPr>
          <w:rFonts w:ascii="仿宋" w:hAnsi="仿宋" w:eastAsia="仿宋"/>
        </w:rPr>
        <w:t>8</w:t>
      </w:r>
      <w:r>
        <w:rPr>
          <w:rFonts w:ascii="仿宋" w:hAnsi="仿宋" w:eastAsia="仿宋"/>
        </w:rP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"_Toc97086044" </w:instrText>
      </w:r>
      <w:r>
        <w:fldChar w:fldCharType="separate"/>
      </w:r>
      <w:r>
        <w:rPr>
          <w:rStyle w:val="29"/>
          <w:rFonts w:hint="eastAsia"/>
          <w:lang w:eastAsia="zh-CN"/>
        </w:rPr>
        <w:t>二、绩效评价工作开展情况</w:t>
      </w:r>
      <w:r>
        <w:tab/>
      </w:r>
      <w:r>
        <w:t>12</w:t>
      </w:r>
      <w: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"_Toc97086045" </w:instrText>
      </w:r>
      <w:r>
        <w:fldChar w:fldCharType="separate"/>
      </w:r>
      <w:r>
        <w:rPr>
          <w:rStyle w:val="29"/>
          <w:rFonts w:hint="eastAsia" w:ascii="仿宋" w:hAnsi="仿宋" w:eastAsia="仿宋"/>
        </w:rPr>
        <w:t>（一）绩效评价目的、对象和范围</w:t>
      </w:r>
      <w:r>
        <w:rPr>
          <w:rFonts w:ascii="仿宋" w:hAnsi="仿宋" w:eastAsia="仿宋"/>
        </w:rPr>
        <w:tab/>
      </w:r>
      <w:r>
        <w:rPr>
          <w:rFonts w:ascii="仿宋" w:hAnsi="仿宋" w:eastAsia="仿宋"/>
        </w:rPr>
        <w:fldChar w:fldCharType="begin"/>
      </w:r>
      <w:r>
        <w:rPr>
          <w:rFonts w:ascii="仿宋" w:hAnsi="仿宋" w:eastAsia="仿宋"/>
        </w:rPr>
        <w:instrText xml:space="preserve"> PAGEREF _Toc97086045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"_Toc97086051" </w:instrText>
      </w:r>
      <w:r>
        <w:fldChar w:fldCharType="separate"/>
      </w:r>
      <w:r>
        <w:rPr>
          <w:rStyle w:val="29"/>
          <w:rFonts w:hint="eastAsia" w:ascii="仿宋" w:hAnsi="仿宋" w:eastAsia="仿宋"/>
        </w:rPr>
        <w:t>（二）绩效评价原则、评价指标体系、评价方法、评价标准</w:t>
      </w:r>
      <w:r>
        <w:rPr>
          <w:rFonts w:ascii="仿宋" w:hAnsi="仿宋" w:eastAsia="仿宋"/>
        </w:rPr>
        <w:tab/>
      </w:r>
      <w:r>
        <w:rPr>
          <w:rFonts w:ascii="仿宋" w:hAnsi="仿宋" w:eastAsia="仿宋"/>
        </w:rPr>
        <w:fldChar w:fldCharType="begin"/>
      </w:r>
      <w:r>
        <w:rPr>
          <w:rFonts w:ascii="仿宋" w:hAnsi="仿宋" w:eastAsia="仿宋"/>
        </w:rPr>
        <w:instrText xml:space="preserve"> PAGEREF _Toc97086051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"_Toc97086055" </w:instrText>
      </w:r>
      <w:r>
        <w:fldChar w:fldCharType="separate"/>
      </w:r>
      <w:r>
        <w:rPr>
          <w:rStyle w:val="29"/>
          <w:rFonts w:hint="eastAsia" w:ascii="仿宋" w:hAnsi="仿宋" w:eastAsia="仿宋"/>
        </w:rPr>
        <w:t>（三）绩效评价工作过程</w:t>
      </w:r>
      <w:r>
        <w:rPr>
          <w:rFonts w:ascii="仿宋" w:hAnsi="仿宋" w:eastAsia="仿宋"/>
        </w:rPr>
        <w:tab/>
      </w:r>
      <w:r>
        <w:rPr>
          <w:rFonts w:ascii="仿宋" w:hAnsi="仿宋" w:eastAsia="仿宋"/>
        </w:rPr>
        <w:fldChar w:fldCharType="begin"/>
      </w:r>
      <w:r>
        <w:rPr>
          <w:rFonts w:ascii="仿宋" w:hAnsi="仿宋" w:eastAsia="仿宋"/>
        </w:rPr>
        <w:instrText xml:space="preserve"> PAGEREF _Toc97086055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"_Toc97086059" </w:instrText>
      </w:r>
      <w:r>
        <w:fldChar w:fldCharType="separate"/>
      </w:r>
      <w:r>
        <w:rPr>
          <w:rStyle w:val="29"/>
          <w:rFonts w:hint="eastAsia"/>
          <w:lang w:eastAsia="zh-CN"/>
        </w:rPr>
        <w:t>三、综合评价情况及评价结论</w:t>
      </w:r>
      <w:r>
        <w:tab/>
      </w:r>
      <w:r>
        <w:fldChar w:fldCharType="begin"/>
      </w:r>
      <w:r>
        <w:instrText xml:space="preserve"> PAGEREF _Toc97086059 \h </w:instrText>
      </w:r>
      <w:r>
        <w:fldChar w:fldCharType="separate"/>
      </w:r>
      <w:r>
        <w:t>25</w:t>
      </w:r>
      <w:r>
        <w:fldChar w:fldCharType="end"/>
      </w:r>
      <w: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"_Toc97086062" </w:instrText>
      </w:r>
      <w:r>
        <w:fldChar w:fldCharType="separate"/>
      </w:r>
      <w:r>
        <w:rPr>
          <w:rStyle w:val="29"/>
          <w:rFonts w:hint="eastAsia"/>
          <w:lang w:eastAsia="zh-CN"/>
        </w:rPr>
        <w:t>四、绩效评价指标分析</w:t>
      </w:r>
      <w:r>
        <w:tab/>
      </w:r>
      <w:r>
        <w:fldChar w:fldCharType="begin"/>
      </w:r>
      <w:r>
        <w:instrText xml:space="preserve"> PAGEREF _Toc97086062 \h </w:instrText>
      </w:r>
      <w:r>
        <w:fldChar w:fldCharType="separate"/>
      </w:r>
      <w:r>
        <w:t>26</w:t>
      </w:r>
      <w:r>
        <w:fldChar w:fldCharType="end"/>
      </w:r>
      <w: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"_Toc97086063" </w:instrText>
      </w:r>
      <w:r>
        <w:fldChar w:fldCharType="separate"/>
      </w:r>
      <w:r>
        <w:rPr>
          <w:rStyle w:val="29"/>
          <w:rFonts w:hint="eastAsia" w:ascii="仿宋" w:hAnsi="仿宋" w:eastAsia="仿宋"/>
        </w:rPr>
        <w:t>（一）项目决策情况</w:t>
      </w:r>
      <w:r>
        <w:rPr>
          <w:rFonts w:ascii="仿宋" w:hAnsi="仿宋" w:eastAsia="仿宋"/>
        </w:rPr>
        <w:tab/>
      </w:r>
      <w:r>
        <w:rPr>
          <w:rFonts w:ascii="仿宋" w:hAnsi="仿宋" w:eastAsia="仿宋"/>
        </w:rPr>
        <w:fldChar w:fldCharType="begin"/>
      </w:r>
      <w:r>
        <w:rPr>
          <w:rFonts w:ascii="仿宋" w:hAnsi="仿宋" w:eastAsia="仿宋"/>
        </w:rPr>
        <w:instrText xml:space="preserve"> PAGEREF _Toc97086063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"_Toc97086064" </w:instrText>
      </w:r>
      <w:r>
        <w:fldChar w:fldCharType="separate"/>
      </w:r>
      <w:r>
        <w:rPr>
          <w:rStyle w:val="29"/>
          <w:rFonts w:hint="eastAsia" w:ascii="仿宋" w:hAnsi="仿宋" w:eastAsia="仿宋"/>
        </w:rPr>
        <w:t>（二）项目过程情况</w:t>
      </w:r>
      <w:r>
        <w:rPr>
          <w:rFonts w:ascii="仿宋" w:hAnsi="仿宋" w:eastAsia="仿宋"/>
        </w:rPr>
        <w:tab/>
      </w:r>
      <w:r>
        <w:rPr>
          <w:rFonts w:ascii="仿宋" w:hAnsi="仿宋" w:eastAsia="仿宋"/>
        </w:rPr>
        <w:t>30</w:t>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"_Toc97086065" </w:instrText>
      </w:r>
      <w:r>
        <w:fldChar w:fldCharType="separate"/>
      </w:r>
      <w:r>
        <w:rPr>
          <w:rStyle w:val="29"/>
          <w:rFonts w:hint="eastAsia" w:ascii="仿宋" w:hAnsi="仿宋" w:eastAsia="仿宋"/>
        </w:rPr>
        <w:t>（三）项目产出情况</w:t>
      </w:r>
      <w:r>
        <w:rPr>
          <w:rFonts w:ascii="仿宋" w:hAnsi="仿宋" w:eastAsia="仿宋"/>
        </w:rPr>
        <w:tab/>
      </w:r>
      <w:r>
        <w:rPr>
          <w:rFonts w:ascii="仿宋" w:hAnsi="仿宋" w:eastAsia="仿宋"/>
        </w:rPr>
        <w:fldChar w:fldCharType="begin"/>
      </w:r>
      <w:r>
        <w:rPr>
          <w:rFonts w:ascii="仿宋" w:hAnsi="仿宋" w:eastAsia="仿宋"/>
        </w:rPr>
        <w:instrText xml:space="preserve"> PAGEREF _Toc97086065 \h </w:instrText>
      </w:r>
      <w:r>
        <w:rPr>
          <w:rFonts w:ascii="仿宋" w:hAnsi="仿宋" w:eastAsia="仿宋"/>
        </w:rPr>
        <w:fldChar w:fldCharType="separate"/>
      </w:r>
      <w:r>
        <w:rPr>
          <w:rFonts w:ascii="仿宋" w:hAnsi="仿宋" w:eastAsia="仿宋"/>
        </w:rPr>
        <w:t>33</w:t>
      </w:r>
      <w:r>
        <w:rPr>
          <w:rFonts w:ascii="仿宋" w:hAnsi="仿宋" w:eastAsia="仿宋"/>
        </w:rPr>
        <w:fldChar w:fldCharType="end"/>
      </w:r>
      <w:r>
        <w:rPr>
          <w:rFonts w:ascii="仿宋" w:hAnsi="仿宋" w:eastAsia="仿宋"/>
        </w:rPr>
        <w:fldChar w:fldCharType="end"/>
      </w:r>
    </w:p>
    <w:p>
      <w:pPr>
        <w:pStyle w:val="19"/>
        <w:widowControl w:val="0"/>
        <w:tabs>
          <w:tab w:val="right" w:leader="dot" w:pos="8296"/>
        </w:tabs>
        <w:spacing w:line="560" w:lineRule="exact"/>
        <w:ind w:left="640" w:firstLine="0" w:firstLineChars="0"/>
        <w:rPr>
          <w:rFonts w:ascii="仿宋" w:hAnsi="仿宋" w:eastAsia="仿宋" w:cstheme="minorBidi"/>
          <w:color w:val="auto"/>
          <w:kern w:val="2"/>
          <w:sz w:val="21"/>
        </w:rPr>
      </w:pPr>
      <w:r>
        <w:fldChar w:fldCharType="begin"/>
      </w:r>
      <w:r>
        <w:instrText xml:space="preserve"> HYPERLINK \l "_Toc97086066" </w:instrText>
      </w:r>
      <w:r>
        <w:fldChar w:fldCharType="separate"/>
      </w:r>
      <w:r>
        <w:rPr>
          <w:rStyle w:val="29"/>
          <w:rFonts w:hint="eastAsia" w:ascii="仿宋" w:hAnsi="仿宋" w:eastAsia="仿宋"/>
        </w:rPr>
        <w:t>（四）项目效益情况</w:t>
      </w:r>
      <w:r>
        <w:rPr>
          <w:rFonts w:ascii="仿宋" w:hAnsi="仿宋" w:eastAsia="仿宋"/>
        </w:rPr>
        <w:tab/>
      </w:r>
      <w:r>
        <w:rPr>
          <w:rFonts w:ascii="仿宋" w:hAnsi="仿宋" w:eastAsia="仿宋"/>
        </w:rPr>
        <w:fldChar w:fldCharType="begin"/>
      </w:r>
      <w:r>
        <w:rPr>
          <w:rFonts w:ascii="仿宋" w:hAnsi="仿宋" w:eastAsia="仿宋"/>
        </w:rPr>
        <w:instrText xml:space="preserve"> PAGEREF _Toc97086066 \h </w:instrText>
      </w:r>
      <w:r>
        <w:rPr>
          <w:rFonts w:ascii="仿宋" w:hAnsi="仿宋" w:eastAsia="仿宋"/>
        </w:rPr>
        <w:fldChar w:fldCharType="separate"/>
      </w:r>
      <w:r>
        <w:rPr>
          <w:rFonts w:ascii="仿宋" w:hAnsi="仿宋" w:eastAsia="仿宋"/>
        </w:rPr>
        <w:t>36</w:t>
      </w:r>
      <w:r>
        <w:rPr>
          <w:rFonts w:ascii="仿宋" w:hAnsi="仿宋" w:eastAsia="仿宋"/>
        </w:rPr>
        <w:fldChar w:fldCharType="end"/>
      </w:r>
      <w:r>
        <w:rPr>
          <w:rFonts w:ascii="仿宋" w:hAnsi="仿宋" w:eastAsia="仿宋"/>
        </w:rP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"_Toc97086067" </w:instrText>
      </w:r>
      <w:r>
        <w:fldChar w:fldCharType="separate"/>
      </w:r>
      <w:r>
        <w:rPr>
          <w:rStyle w:val="29"/>
          <w:rFonts w:hint="eastAsia"/>
          <w:lang w:eastAsia="zh-CN"/>
        </w:rPr>
        <w:t>五、项目主要绩效及经验做法</w:t>
      </w:r>
      <w:r>
        <w:tab/>
      </w:r>
      <w:r>
        <w:t>39</w:t>
      </w:r>
      <w: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"_Toc97086070" </w:instrText>
      </w:r>
      <w:r>
        <w:fldChar w:fldCharType="separate"/>
      </w:r>
      <w:r>
        <w:rPr>
          <w:rStyle w:val="29"/>
          <w:rFonts w:hint="eastAsia"/>
          <w:lang w:eastAsia="zh-CN"/>
        </w:rPr>
        <w:t>六、项目实施及管理过程中存在问题及原因分析</w:t>
      </w:r>
      <w:r>
        <w:tab/>
      </w:r>
      <w:r>
        <w:t>40</w:t>
      </w:r>
      <w:r>
        <w:fldChar w:fldCharType="end"/>
      </w:r>
    </w:p>
    <w:p>
      <w:pPr>
        <w:pStyle w:val="17"/>
        <w:widowControl w:val="0"/>
        <w:tabs>
          <w:tab w:val="right" w:leader="dot" w:pos="8296"/>
        </w:tabs>
        <w:spacing w:line="560" w:lineRule="exact"/>
        <w:ind w:firstLine="0" w:firstLineChars="0"/>
      </w:pPr>
      <w:r>
        <w:fldChar w:fldCharType="begin"/>
      </w:r>
      <w:r>
        <w:instrText xml:space="preserve"> HYPERLINK \l "_Toc97086073" </w:instrText>
      </w:r>
      <w:r>
        <w:fldChar w:fldCharType="separate"/>
      </w:r>
      <w:r>
        <w:rPr>
          <w:rStyle w:val="29"/>
          <w:rFonts w:hint="eastAsia"/>
          <w:lang w:eastAsia="zh-CN"/>
        </w:rPr>
        <w:t>七、下一步改进意见及政策建议</w:t>
      </w:r>
      <w:r>
        <w:tab/>
      </w:r>
      <w:r>
        <w:t>41</w:t>
      </w:r>
      <w:r>
        <w:fldChar w:fldCharType="end"/>
      </w:r>
    </w:p>
    <w:p>
      <w:pPr>
        <w:pStyle w:val="17"/>
        <w:widowControl w:val="0"/>
        <w:tabs>
          <w:tab w:val="right" w:leader="dot" w:pos="8296"/>
        </w:tabs>
        <w:spacing w:line="560" w:lineRule="exact"/>
        <w:ind w:firstLine="0" w:firstLineChars="0"/>
      </w:pPr>
      <w:r>
        <w:fldChar w:fldCharType="begin"/>
      </w:r>
      <w:r>
        <w:instrText xml:space="preserve"> HYPERLINK \l "_Toc97086073" </w:instrText>
      </w:r>
      <w:r>
        <w:fldChar w:fldCharType="separate"/>
      </w:r>
      <w:r>
        <w:rPr>
          <w:rStyle w:val="29"/>
          <w:rFonts w:hint="eastAsia"/>
          <w:lang w:eastAsia="zh-CN"/>
        </w:rPr>
        <w:t>八、绩效评价结果应用建议</w:t>
      </w:r>
      <w:r>
        <w:tab/>
      </w:r>
      <w:r>
        <w:t>42</w:t>
      </w:r>
      <w:r>
        <w:fldChar w:fldCharType="end"/>
      </w:r>
    </w:p>
    <w:p>
      <w:pPr>
        <w:pStyle w:val="17"/>
        <w:widowControl w:val="0"/>
        <w:tabs>
          <w:tab w:val="right" w:leader="dot" w:pos="8296"/>
        </w:tabs>
        <w:spacing w:line="560" w:lineRule="exact"/>
        <w:ind w:firstLine="0" w:firstLineChars="0"/>
        <w:rPr>
          <w:color w:val="auto"/>
          <w:kern w:val="2"/>
          <w:sz w:val="21"/>
          <w:lang w:eastAsia="zh-CN"/>
        </w:rPr>
      </w:pPr>
      <w:r>
        <w:fldChar w:fldCharType="begin"/>
      </w:r>
      <w:r>
        <w:instrText xml:space="preserve"> HYPERLINK \l "_Toc97086073" </w:instrText>
      </w:r>
      <w:r>
        <w:fldChar w:fldCharType="separate"/>
      </w:r>
      <w:r>
        <w:rPr>
          <w:rStyle w:val="29"/>
          <w:rFonts w:hint="eastAsia"/>
          <w:lang w:eastAsia="zh-CN"/>
        </w:rPr>
        <w:t>九、报告附件</w:t>
      </w:r>
      <w:r>
        <w:tab/>
      </w:r>
      <w:r>
        <w:t>43</w:t>
      </w:r>
      <w:r>
        <w:fldChar w:fldCharType="end"/>
      </w:r>
    </w:p>
    <w:p>
      <w:pPr>
        <w:widowControl w:val="0"/>
        <w:ind w:firstLine="0" w:firstLineChars="0"/>
      </w:pPr>
    </w:p>
    <w:p>
      <w:pPr>
        <w:pStyle w:val="19"/>
        <w:widowControl w:val="0"/>
        <w:tabs>
          <w:tab w:val="right" w:leader="dot" w:pos="8296"/>
        </w:tabs>
        <w:spacing w:before="93" w:beforeLines="30"/>
        <w:ind w:left="0" w:leftChars="0" w:firstLine="0" w:firstLineChars="0"/>
        <w:rPr>
          <w:rFonts w:ascii="黑体" w:hAnsi="黑体" w:eastAsia="黑体" w:cs="黑体"/>
          <w:b/>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20" w:footer="720" w:gutter="0"/>
          <w:pgNumType w:start="1"/>
          <w:cols w:space="720" w:num="1"/>
          <w:docGrid w:type="lines" w:linePitch="312" w:charSpace="0"/>
        </w:sectPr>
      </w:pPr>
      <w:r>
        <w:rPr>
          <w:rFonts w:hint="eastAsia" w:ascii="仿宋" w:hAnsi="仿宋" w:eastAsia="仿宋" w:cs="仿宋"/>
          <w:szCs w:val="32"/>
        </w:rPr>
        <w:fldChar w:fldCharType="end"/>
      </w:r>
    </w:p>
    <w:p>
      <w:pPr>
        <w:widowControl w:val="0"/>
        <w:spacing w:line="240" w:lineRule="auto"/>
        <w:ind w:firstLine="0" w:firstLineChars="0"/>
        <w:jc w:val="center"/>
        <w:outlineLvl w:val="0"/>
        <w:rPr>
          <w:rFonts w:ascii="宋体" w:hAnsi="宋体" w:eastAsia="宋体" w:cs="宋体"/>
          <w:b/>
          <w:sz w:val="44"/>
          <w:lang w:eastAsia="zh-CN"/>
        </w:rPr>
      </w:pPr>
      <w:bookmarkStart w:id="1" w:name="_Toc97086024"/>
      <w:bookmarkStart w:id="2" w:name="_Toc97044147"/>
      <w:r>
        <w:rPr>
          <w:rFonts w:hint="eastAsia" w:ascii="宋体" w:hAnsi="宋体" w:eastAsia="宋体" w:cs="宋体"/>
          <w:b/>
          <w:sz w:val="44"/>
          <w:lang w:eastAsia="zh-CN"/>
        </w:rPr>
        <w:t>摘要</w:t>
      </w:r>
      <w:bookmarkEnd w:id="1"/>
      <w:bookmarkEnd w:id="2"/>
    </w:p>
    <w:p>
      <w:pPr>
        <w:pStyle w:val="20"/>
        <w:widowControl w:val="0"/>
        <w:spacing w:line="240" w:lineRule="auto"/>
        <w:ind w:firstLine="0" w:firstLineChars="0"/>
        <w:rPr>
          <w:rFonts w:ascii="仿宋_GB2312" w:hAnsi="仿宋_GB2312" w:eastAsia="仿宋_GB2312" w:cs="仿宋_GB2312"/>
          <w:sz w:val="28"/>
          <w:lang w:eastAsia="zh-CN"/>
        </w:rPr>
      </w:pPr>
    </w:p>
    <w:p>
      <w:pPr>
        <w:pStyle w:val="20"/>
        <w:widowControl w:val="0"/>
        <w:spacing w:line="240" w:lineRule="auto"/>
        <w:ind w:firstLine="640"/>
        <w:rPr>
          <w:rFonts w:cs="仿宋_GB2312"/>
          <w:sz w:val="32"/>
          <w:szCs w:val="32"/>
          <w:lang w:eastAsia="zh-CN"/>
        </w:rPr>
      </w:pPr>
      <w:r>
        <w:rPr>
          <w:rFonts w:hint="eastAsia" w:cs="仿宋_GB2312"/>
          <w:sz w:val="32"/>
          <w:szCs w:val="32"/>
          <w:lang w:eastAsia="zh-CN"/>
        </w:rPr>
        <w:t>为进一步加强财政预算绩效管理，强化监督，保证项目资金使用管理的规范性、安全性和有效性，为项目后期资金的投入、管理、使用等决策提供依据，实现项目管理成本最低化、效率最优化、绩效最大化，受</w:t>
      </w:r>
      <w:r>
        <w:rPr>
          <w:rFonts w:cs="仿宋_GB2312"/>
          <w:sz w:val="32"/>
          <w:szCs w:val="32"/>
          <w:lang w:eastAsia="zh-CN"/>
        </w:rPr>
        <w:t>安泽县</w:t>
      </w:r>
      <w:r>
        <w:rPr>
          <w:rFonts w:hint="eastAsia" w:cs="仿宋_GB2312"/>
          <w:sz w:val="32"/>
          <w:szCs w:val="32"/>
          <w:lang w:eastAsia="zh-CN"/>
        </w:rPr>
        <w:t>财政局委托，我</w:t>
      </w:r>
      <w:r>
        <w:rPr>
          <w:rFonts w:cs="仿宋_GB2312"/>
          <w:sz w:val="32"/>
          <w:szCs w:val="32"/>
          <w:lang w:eastAsia="zh-CN"/>
        </w:rPr>
        <w:t>单位</w:t>
      </w:r>
      <w:r>
        <w:rPr>
          <w:rFonts w:hint="eastAsia" w:cs="仿宋_GB2312"/>
          <w:sz w:val="32"/>
          <w:szCs w:val="32"/>
          <w:lang w:eastAsia="zh-CN"/>
        </w:rPr>
        <w:t>承担石渠村乡村振兴示范村建设项目绩效评价工作。评价工作经过评价方案制定与论证、数据采集与复核、现场核查、问卷调研以及综合评分等环节，形成本报告。现汇报如下：</w:t>
      </w:r>
    </w:p>
    <w:p>
      <w:pPr>
        <w:pStyle w:val="4"/>
        <w:keepNext w:val="0"/>
        <w:keepLines w:val="0"/>
        <w:widowControl w:val="0"/>
        <w:numPr>
          <w:ilvl w:val="0"/>
          <w:numId w:val="1"/>
        </w:numPr>
        <w:ind w:firstLine="640"/>
        <w:rPr>
          <w:lang w:eastAsia="zh-CN"/>
        </w:rPr>
      </w:pPr>
      <w:bookmarkStart w:id="3" w:name="_Toc97086025"/>
      <w:bookmarkStart w:id="4" w:name="_Toc66699943"/>
      <w:bookmarkStart w:id="5" w:name="_Toc61943324"/>
      <w:bookmarkStart w:id="6" w:name="_Toc97044148"/>
      <w:bookmarkStart w:id="7" w:name="_Toc60066287"/>
      <w:r>
        <w:rPr>
          <w:lang w:eastAsia="zh-CN"/>
        </w:rPr>
        <w:t>项目</w:t>
      </w:r>
      <w:r>
        <w:rPr>
          <w:rFonts w:hint="eastAsia"/>
          <w:lang w:eastAsia="zh-CN"/>
        </w:rPr>
        <w:t>基本情况</w:t>
      </w:r>
      <w:bookmarkEnd w:id="3"/>
      <w:bookmarkEnd w:id="4"/>
      <w:bookmarkEnd w:id="5"/>
      <w:bookmarkEnd w:id="6"/>
      <w:bookmarkEnd w:id="7"/>
    </w:p>
    <w:p>
      <w:pPr>
        <w:widowControl w:val="0"/>
        <w:ind w:firstLine="640"/>
        <w:rPr>
          <w:rFonts w:cs="仿宋"/>
          <w:lang w:eastAsia="zh-CN"/>
        </w:rPr>
      </w:pPr>
      <w:r>
        <w:rPr>
          <w:rFonts w:hint="eastAsia" w:cs="仿宋"/>
          <w:lang w:eastAsia="zh-CN"/>
        </w:rPr>
        <w:t>石渠村乡村振兴示范村建设项目是响应党的十九大“实施乡村振兴战略”的要求，是安泽县2</w:t>
      </w:r>
      <w:r>
        <w:rPr>
          <w:rFonts w:cs="仿宋"/>
          <w:lang w:eastAsia="zh-CN"/>
        </w:rPr>
        <w:t>022</w:t>
      </w:r>
      <w:r>
        <w:rPr>
          <w:rFonts w:hint="eastAsia" w:cs="仿宋"/>
          <w:lang w:eastAsia="zh-CN"/>
        </w:rPr>
        <w:t>年重点建设项目，是</w:t>
      </w:r>
      <w:r>
        <w:rPr>
          <w:lang w:eastAsia="zh-CN"/>
        </w:rPr>
        <w:t>顺应社会发展趋势的升级版的城镇化基础设施和农村人均环境改善工程</w:t>
      </w:r>
      <w:r>
        <w:rPr>
          <w:rFonts w:hint="eastAsia"/>
          <w:lang w:eastAsia="zh-CN"/>
        </w:rPr>
        <w:t>，对优化乡村环境、提高乡村基础设施水平、拉动当地经济发展、提高沿线居民生活质量等方面有着重要的意义。</w:t>
      </w:r>
    </w:p>
    <w:p>
      <w:pPr>
        <w:widowControl w:val="0"/>
        <w:ind w:firstLine="640"/>
        <w:rPr>
          <w:rFonts w:cs="仿宋"/>
          <w:lang w:eastAsia="zh-CN"/>
        </w:rPr>
      </w:pPr>
      <w:r>
        <w:rPr>
          <w:lang w:eastAsia="zh-CN"/>
        </w:rPr>
        <w:t>党的十九大提出</w:t>
      </w:r>
      <w:r>
        <w:rPr>
          <w:rFonts w:hint="eastAsia"/>
          <w:lang w:eastAsia="zh-CN"/>
        </w:rPr>
        <w:t>了</w:t>
      </w:r>
      <w:r>
        <w:rPr>
          <w:lang w:eastAsia="zh-CN"/>
        </w:rPr>
        <w:t>实施振兴乡村战略，意义重大而深远。这是站在新时代的历史起点上提出决胜全面建成小康社会、全面建设社会主义现代化国家的重大历史任务，是新时代”三农”工作的新旗帜和总抓手</w:t>
      </w:r>
      <w:r>
        <w:rPr>
          <w:rFonts w:hint="eastAsia"/>
          <w:lang w:eastAsia="zh-CN"/>
        </w:rPr>
        <w:t>，</w:t>
      </w:r>
      <w:r>
        <w:rPr>
          <w:lang w:eastAsia="zh-CN"/>
        </w:rPr>
        <w:t>反映了时代的呼唤、发展的必然人民的期盼。</w:t>
      </w:r>
    </w:p>
    <w:p>
      <w:pPr>
        <w:widowControl w:val="0"/>
        <w:ind w:firstLine="640"/>
        <w:rPr>
          <w:rFonts w:cs="仿宋"/>
          <w:lang w:eastAsia="zh-CN"/>
        </w:rPr>
      </w:pPr>
      <w:r>
        <w:rPr>
          <w:lang w:eastAsia="zh-CN"/>
        </w:rPr>
        <w:t>中共中央</w:t>
      </w:r>
      <w:r>
        <w:rPr>
          <w:rFonts w:hint="eastAsia"/>
          <w:lang w:eastAsia="zh-CN"/>
        </w:rPr>
        <w:t>、</w:t>
      </w:r>
      <w:r>
        <w:rPr>
          <w:lang w:eastAsia="zh-CN"/>
        </w:rPr>
        <w:t>国务院印发</w:t>
      </w:r>
      <w:r>
        <w:rPr>
          <w:rFonts w:hint="eastAsia"/>
          <w:lang w:eastAsia="zh-CN"/>
        </w:rPr>
        <w:t>关于《</w:t>
      </w:r>
      <w:r>
        <w:rPr>
          <w:lang w:eastAsia="zh-CN"/>
        </w:rPr>
        <w:t>乡村振兴战略规划（2018</w:t>
      </w:r>
      <w:r>
        <w:rPr>
          <w:rFonts w:hint="eastAsia"/>
          <w:lang w:eastAsia="zh-CN"/>
        </w:rPr>
        <w:t>-</w:t>
      </w:r>
      <w:r>
        <w:rPr>
          <w:lang w:eastAsia="zh-CN"/>
        </w:rPr>
        <w:t>2022年）》</w:t>
      </w:r>
      <w:r>
        <w:rPr>
          <w:rFonts w:hint="eastAsia"/>
          <w:lang w:eastAsia="zh-CN"/>
        </w:rPr>
        <w:t>文件中指出：</w:t>
      </w:r>
      <w:r>
        <w:rPr>
          <w:lang w:eastAsia="zh-CN"/>
        </w:rPr>
        <w:t>到2022年，乡村振兴的制度框架和政策体系初步健全。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w:t>
      </w:r>
      <w:r>
        <w:rPr>
          <w:rFonts w:hint="eastAsia"/>
          <w:lang w:eastAsia="zh-CN"/>
        </w:rPr>
        <w:t>；</w:t>
      </w:r>
      <w:r>
        <w:rPr>
          <w:lang w:eastAsia="zh-CN"/>
        </w:rPr>
        <w:t>到2035年，乡村振兴取得决定性进展，农业农村现代化基本实现。乡风文明达到新高度，乡村治理体系更加完善；农村生态环境根本好转，生态宜居的美丽乡村基本实现。到2050年，乡村全面振兴，农业强、农村美、农民富全面实现。</w:t>
      </w:r>
    </w:p>
    <w:p>
      <w:pPr>
        <w:widowControl w:val="0"/>
        <w:ind w:firstLine="640"/>
        <w:rPr>
          <w:lang w:eastAsia="zh-CN"/>
        </w:rPr>
      </w:pPr>
      <w:r>
        <w:rPr>
          <w:lang w:eastAsia="zh-CN"/>
        </w:rPr>
        <w:t>2018年1月2日中共中央</w:t>
      </w:r>
      <w:r>
        <w:rPr>
          <w:rFonts w:hint="eastAsia"/>
          <w:lang w:eastAsia="zh-CN"/>
        </w:rPr>
        <w:t>、</w:t>
      </w:r>
      <w:r>
        <w:rPr>
          <w:lang w:eastAsia="zh-CN"/>
        </w:rPr>
        <w:t>国务院</w:t>
      </w:r>
      <w:r>
        <w:rPr>
          <w:rFonts w:hint="eastAsia"/>
          <w:lang w:eastAsia="zh-CN"/>
        </w:rPr>
        <w:t>印发《</w:t>
      </w:r>
      <w:r>
        <w:rPr>
          <w:lang w:eastAsia="zh-CN"/>
        </w:rPr>
        <w:t>关于实施乡村振兴战略的意见》</w:t>
      </w:r>
      <w:r>
        <w:rPr>
          <w:rFonts w:hint="eastAsia"/>
          <w:lang w:eastAsia="zh-CN"/>
        </w:rPr>
        <w:t>，文件确定了实施乡村振兴战略的目标任务：到</w:t>
      </w:r>
      <w:r>
        <w:rPr>
          <w:lang w:eastAsia="zh-CN"/>
        </w:rPr>
        <w:t>2035年乡村振兴取得决定性进展，农业农村现代化基本实现；乡风文明达到新高度，乡村治理体系更加完善；农村生态环境根本好转，美丽宜居乡村基本实现。到2050年乡村全面振兴，农业强，农村美、农民富全面实现。</w:t>
      </w:r>
    </w:p>
    <w:p>
      <w:pPr>
        <w:widowControl w:val="0"/>
        <w:ind w:firstLine="640"/>
        <w:rPr>
          <w:lang w:eastAsia="zh-CN"/>
        </w:rPr>
      </w:pPr>
      <w:r>
        <w:rPr>
          <w:lang w:eastAsia="zh-CN"/>
        </w:rPr>
        <w:t>《中共中央</w:t>
      </w:r>
      <w:r>
        <w:rPr>
          <w:rFonts w:hint="eastAsia"/>
          <w:lang w:eastAsia="zh-CN"/>
        </w:rPr>
        <w:t xml:space="preserve"> </w:t>
      </w:r>
      <w:r>
        <w:rPr>
          <w:lang w:eastAsia="zh-CN"/>
        </w:rPr>
        <w:t>国务院关于做好2022年全面推进乡村振兴重点工作的意见》中指出</w:t>
      </w:r>
      <w:r>
        <w:rPr>
          <w:rFonts w:hint="eastAsia"/>
          <w:lang w:eastAsia="zh-CN"/>
        </w:rPr>
        <w:t>：</w:t>
      </w:r>
      <w:r>
        <w:rPr>
          <w:lang w:eastAsia="zh-CN"/>
        </w:rPr>
        <w:t>聚焦产业促进乡村发展。鼓励各地拓展农业多种功能、挖掘乡村多元价值，重点发展农产品加工、乡村休闲旅游、农村电商等产业。实施乡村休闲旅游提升计划。支持农民直接经营或参与经营的乡村民宿、农家乐特色村（点）发展。</w:t>
      </w:r>
    </w:p>
    <w:p>
      <w:pPr>
        <w:widowControl w:val="0"/>
        <w:ind w:firstLine="640"/>
        <w:rPr>
          <w:rFonts w:cs="仿宋"/>
          <w:lang w:eastAsia="zh-CN"/>
        </w:rPr>
      </w:pPr>
      <w:r>
        <w:rPr>
          <w:lang w:eastAsia="zh-CN"/>
        </w:rPr>
        <w:t>《山西省人民政府关于2018年实施乡村振兴若干政策措施的通知》（晋政发〔2018〕32号）</w:t>
      </w:r>
      <w:r>
        <w:rPr>
          <w:rFonts w:hint="eastAsia"/>
          <w:lang w:eastAsia="zh-CN"/>
        </w:rPr>
        <w:t>中指出要支持改善农村人居环境示范县、示范村建设。</w:t>
      </w:r>
    </w:p>
    <w:p>
      <w:pPr>
        <w:widowControl w:val="0"/>
        <w:ind w:firstLine="640"/>
        <w:rPr>
          <w:rFonts w:cs="仿宋"/>
          <w:lang w:eastAsia="zh-CN"/>
        </w:rPr>
      </w:pPr>
      <w:r>
        <w:rPr>
          <w:rFonts w:hint="eastAsia" w:cs="仿宋"/>
          <w:lang w:eastAsia="zh-CN"/>
        </w:rPr>
        <w:t>《中共山西省委山西省人民政府关于巩固拓展脱贫攻坚成果有效衔接乡村振兴的实施方案》（晋财农</w:t>
      </w:r>
      <w:r>
        <w:rPr>
          <w:rFonts w:hint="eastAsia" w:cs="仿宋_GB2312"/>
          <w:szCs w:val="32"/>
          <w:lang w:eastAsia="zh-CN"/>
        </w:rPr>
        <w:t>〔2</w:t>
      </w:r>
      <w:r>
        <w:rPr>
          <w:rFonts w:cs="仿宋_GB2312"/>
          <w:szCs w:val="32"/>
          <w:lang w:eastAsia="zh-CN"/>
        </w:rPr>
        <w:t>021</w:t>
      </w:r>
      <w:r>
        <w:rPr>
          <w:rFonts w:hint="eastAsia" w:cs="仿宋_GB2312"/>
          <w:szCs w:val="32"/>
          <w:lang w:eastAsia="zh-CN"/>
        </w:rPr>
        <w:t>〕5</w:t>
      </w:r>
      <w:r>
        <w:rPr>
          <w:rFonts w:cs="仿宋_GB2312"/>
          <w:szCs w:val="32"/>
          <w:lang w:eastAsia="zh-CN"/>
        </w:rPr>
        <w:t>1</w:t>
      </w:r>
      <w:r>
        <w:rPr>
          <w:rFonts w:hint="eastAsia" w:cs="仿宋_GB2312"/>
          <w:szCs w:val="32"/>
          <w:lang w:eastAsia="zh-CN"/>
        </w:rPr>
        <w:t>号</w:t>
      </w:r>
      <w:r>
        <w:rPr>
          <w:rFonts w:hint="eastAsia" w:cs="仿宋"/>
          <w:lang w:eastAsia="zh-CN"/>
        </w:rPr>
        <w:t>）中，</w:t>
      </w:r>
      <w:r>
        <w:rPr>
          <w:lang w:eastAsia="zh-CN"/>
        </w:rPr>
        <w:t>加快发展乡村旅游业</w:t>
      </w:r>
      <w:r>
        <w:rPr>
          <w:rFonts w:hint="eastAsia"/>
          <w:lang w:eastAsia="zh-CN"/>
        </w:rPr>
        <w:t>，</w:t>
      </w:r>
      <w:r>
        <w:rPr>
          <w:lang w:eastAsia="zh-CN"/>
        </w:rPr>
        <w:t>依托红色文化、关隘文化、渡口文化、生态文化、历史村镇</w:t>
      </w:r>
      <w:r>
        <w:rPr>
          <w:rFonts w:hint="eastAsia"/>
          <w:lang w:eastAsia="zh-CN"/>
        </w:rPr>
        <w:t>，</w:t>
      </w:r>
      <w:r>
        <w:rPr>
          <w:lang w:eastAsia="zh-CN"/>
        </w:rPr>
        <w:t>创新“旅游＋”为主导的多产业融合</w:t>
      </w:r>
      <w:r>
        <w:rPr>
          <w:rFonts w:hint="eastAsia"/>
          <w:lang w:eastAsia="zh-CN"/>
        </w:rPr>
        <w:t>，</w:t>
      </w:r>
      <w:r>
        <w:rPr>
          <w:lang w:eastAsia="zh-CN"/>
        </w:rPr>
        <w:t>培育一批特色鲜明、带动帮扶能力强的乡村旅游项目</w:t>
      </w:r>
      <w:r>
        <w:rPr>
          <w:rFonts w:hint="eastAsia"/>
          <w:lang w:eastAsia="zh-CN"/>
        </w:rPr>
        <w:t>，</w:t>
      </w:r>
      <w:r>
        <w:rPr>
          <w:lang w:eastAsia="zh-CN"/>
        </w:rPr>
        <w:t>打造一批乡村旅游示范村</w:t>
      </w:r>
      <w:r>
        <w:rPr>
          <w:rFonts w:hint="eastAsia"/>
          <w:lang w:eastAsia="zh-CN"/>
        </w:rPr>
        <w:t>。</w:t>
      </w:r>
    </w:p>
    <w:p>
      <w:pPr>
        <w:widowControl w:val="0"/>
        <w:ind w:firstLine="640"/>
        <w:rPr>
          <w:lang w:eastAsia="zh-CN"/>
        </w:rPr>
      </w:pPr>
      <w:r>
        <w:rPr>
          <w:rFonts w:hint="eastAsia"/>
          <w:lang w:eastAsia="zh-CN"/>
        </w:rPr>
        <w:t>《</w:t>
      </w:r>
      <w:r>
        <w:rPr>
          <w:rFonts w:hint="eastAsia" w:cs="仿宋"/>
          <w:lang w:eastAsia="zh-CN"/>
        </w:rPr>
        <w:t>中共山西省委山西省人民政府关于做好2</w:t>
      </w:r>
      <w:r>
        <w:rPr>
          <w:rFonts w:cs="仿宋"/>
          <w:lang w:eastAsia="zh-CN"/>
        </w:rPr>
        <w:t>022</w:t>
      </w:r>
      <w:r>
        <w:rPr>
          <w:rFonts w:hint="eastAsia" w:cs="仿宋"/>
          <w:lang w:eastAsia="zh-CN"/>
        </w:rPr>
        <w:t>年全面推进乡村振兴重点工作的实施意见</w:t>
      </w:r>
      <w:r>
        <w:rPr>
          <w:rFonts w:hint="eastAsia"/>
          <w:lang w:eastAsia="zh-CN"/>
        </w:rPr>
        <w:t>》中指出：</w:t>
      </w:r>
      <w:r>
        <w:rPr>
          <w:lang w:eastAsia="zh-CN"/>
        </w:rPr>
        <w:t>培育５个中国美丽休闲乡村</w:t>
      </w:r>
      <w:r>
        <w:rPr>
          <w:rFonts w:hint="eastAsia"/>
          <w:lang w:eastAsia="zh-CN"/>
        </w:rPr>
        <w:t>、5</w:t>
      </w:r>
      <w:r>
        <w:rPr>
          <w:lang w:eastAsia="zh-CN"/>
        </w:rPr>
        <w:t>0个山西美丽休闲乡村</w:t>
      </w:r>
      <w:r>
        <w:rPr>
          <w:rFonts w:hint="eastAsia"/>
          <w:lang w:eastAsia="zh-CN"/>
        </w:rPr>
        <w:t>。</w:t>
      </w:r>
      <w:r>
        <w:rPr>
          <w:lang w:eastAsia="zh-CN"/>
        </w:rPr>
        <w:t>聚焦产业发展抓好示范创建</w:t>
      </w:r>
      <w:r>
        <w:rPr>
          <w:rFonts w:hint="eastAsia"/>
          <w:lang w:eastAsia="zh-CN"/>
        </w:rPr>
        <w:t>，</w:t>
      </w:r>
      <w:r>
        <w:rPr>
          <w:lang w:eastAsia="zh-CN"/>
        </w:rPr>
        <w:t>在革命老区县创建乡村振兴示范区</w:t>
      </w:r>
      <w:r>
        <w:rPr>
          <w:rFonts w:hint="eastAsia"/>
          <w:lang w:eastAsia="zh-CN"/>
        </w:rPr>
        <w:t>，</w:t>
      </w:r>
      <w:r>
        <w:rPr>
          <w:lang w:eastAsia="zh-CN"/>
        </w:rPr>
        <w:t>在全省打造一批乡村旅游示范村</w:t>
      </w:r>
      <w:r>
        <w:rPr>
          <w:rFonts w:hint="eastAsia"/>
          <w:lang w:eastAsia="zh-CN"/>
        </w:rPr>
        <w:t>。</w:t>
      </w:r>
    </w:p>
    <w:p>
      <w:pPr>
        <w:widowControl w:val="0"/>
        <w:ind w:firstLine="640"/>
        <w:rPr>
          <w:lang w:eastAsia="zh-CN"/>
        </w:rPr>
      </w:pPr>
      <w:r>
        <w:rPr>
          <w:lang w:eastAsia="zh-CN"/>
        </w:rPr>
        <w:t>《山西省人民政府办公厅关于支持康养产业发展的意见》（晋政办发〔2022〕37号）</w:t>
      </w:r>
      <w:r>
        <w:rPr>
          <w:rFonts w:hint="eastAsia"/>
          <w:lang w:eastAsia="zh-CN"/>
        </w:rPr>
        <w:t>，推动康养产业聚集区建设，</w:t>
      </w:r>
      <w:r>
        <w:rPr>
          <w:rFonts w:hint="eastAsia"/>
          <w:color w:val="auto"/>
          <w:lang w:eastAsia="zh-CN"/>
        </w:rPr>
        <w:t>聚焦发展避暑康养、温泉康养、森林康养、乡村康养、运动康养、中医药康养等康养业态。各地要依托资源优势，培育不同特色的康养产业发展支撑点。到2025年，全省建成康养小镇（示范区）20个、康养社区50个、康养村落200个。</w:t>
      </w:r>
    </w:p>
    <w:p>
      <w:pPr>
        <w:widowControl w:val="0"/>
        <w:ind w:firstLine="640"/>
        <w:rPr>
          <w:rFonts w:cs="仿宋"/>
          <w:lang w:eastAsia="zh-CN"/>
        </w:rPr>
      </w:pPr>
      <w:r>
        <w:rPr>
          <w:rFonts w:hint="eastAsia"/>
          <w:lang w:eastAsia="zh-CN"/>
        </w:rPr>
        <w:t>《安泽县人民政府关于印发&lt;安泽县2</w:t>
      </w:r>
      <w:r>
        <w:rPr>
          <w:lang w:eastAsia="zh-CN"/>
        </w:rPr>
        <w:t>022</w:t>
      </w:r>
      <w:r>
        <w:rPr>
          <w:rFonts w:hint="eastAsia"/>
          <w:lang w:eastAsia="zh-CN"/>
        </w:rPr>
        <w:t>年统筹</w:t>
      </w:r>
      <w:r>
        <w:rPr>
          <w:rFonts w:hint="eastAsia" w:cs="仿宋"/>
          <w:lang w:eastAsia="zh-CN"/>
        </w:rPr>
        <w:t>整合财政资金巩固拓展脱贫攻坚成果衔接推进乡村振兴的实施方案&gt;的通知》（安政农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）中，2</w:t>
      </w:r>
      <w:r>
        <w:rPr>
          <w:rFonts w:cs="仿宋"/>
          <w:lang w:eastAsia="zh-CN"/>
        </w:rPr>
        <w:t>022</w:t>
      </w:r>
      <w:r>
        <w:rPr>
          <w:rFonts w:hint="eastAsia" w:cs="仿宋"/>
          <w:lang w:eastAsia="zh-CN"/>
        </w:rPr>
        <w:t>年是实施“十四五”规划承上启下之年，也是全面推进乡村振兴的关键之年。</w:t>
      </w:r>
    </w:p>
    <w:p>
      <w:pPr>
        <w:widowControl w:val="0"/>
        <w:ind w:firstLine="640"/>
        <w:rPr>
          <w:rFonts w:cs="仿宋"/>
          <w:lang w:eastAsia="zh-CN"/>
        </w:rPr>
      </w:pPr>
      <w:r>
        <w:rPr>
          <w:rFonts w:hint="eastAsia" w:cs="仿宋"/>
          <w:lang w:eastAsia="zh-CN"/>
        </w:rPr>
        <w:t>2</w:t>
      </w:r>
      <w:r>
        <w:rPr>
          <w:rFonts w:cs="仿宋"/>
          <w:lang w:eastAsia="zh-CN"/>
        </w:rPr>
        <w:t>022</w:t>
      </w:r>
      <w:r>
        <w:rPr>
          <w:rFonts w:hint="eastAsia" w:cs="仿宋"/>
          <w:lang w:eastAsia="zh-CN"/>
        </w:rPr>
        <w:t>年为了贯彻落实中央、省、市、县关于巩固拓展脱贫攻坚成果同乡村振兴有效衔接有关精神，</w:t>
      </w:r>
      <w:r>
        <w:rPr>
          <w:rFonts w:hint="eastAsia"/>
          <w:lang w:eastAsia="zh-CN"/>
        </w:rPr>
        <w:t>安泽县人民政府关于印发《安泽县2</w:t>
      </w:r>
      <w:r>
        <w:rPr>
          <w:lang w:eastAsia="zh-CN"/>
        </w:rPr>
        <w:t>022</w:t>
      </w:r>
      <w:r>
        <w:rPr>
          <w:rFonts w:hint="eastAsia"/>
          <w:lang w:eastAsia="zh-CN"/>
        </w:rPr>
        <w:t>年统筹</w:t>
      </w:r>
      <w:r>
        <w:rPr>
          <w:rFonts w:hint="eastAsia" w:cs="仿宋"/>
          <w:lang w:eastAsia="zh-CN"/>
        </w:rPr>
        <w:t>整合财政资金巩固拓展脱贫攻坚成果衔接推进乡村振兴的实施方案的通知》（安政农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），其中石渠村乡村振兴示范村建设项目预算资金为</w:t>
      </w:r>
      <w:r>
        <w:rPr>
          <w:rFonts w:cs="仿宋"/>
          <w:lang w:eastAsia="zh-CN"/>
        </w:rPr>
        <w:t>1250</w:t>
      </w:r>
      <w:r>
        <w:rPr>
          <w:rFonts w:hint="eastAsia" w:cs="仿宋"/>
          <w:lang w:eastAsia="zh-CN"/>
        </w:rPr>
        <w:t>万元，包括：省级资金5</w:t>
      </w:r>
      <w:r>
        <w:rPr>
          <w:rFonts w:cs="仿宋"/>
          <w:lang w:eastAsia="zh-CN"/>
        </w:rPr>
        <w:t>00</w:t>
      </w:r>
      <w:r>
        <w:rPr>
          <w:rFonts w:hint="eastAsia" w:cs="仿宋"/>
          <w:lang w:eastAsia="zh-CN"/>
        </w:rPr>
        <w:t>万元，县级资金7</w:t>
      </w:r>
      <w:r>
        <w:rPr>
          <w:rFonts w:cs="仿宋"/>
          <w:lang w:eastAsia="zh-CN"/>
        </w:rPr>
        <w:t>50</w:t>
      </w:r>
      <w:r>
        <w:rPr>
          <w:rFonts w:hint="eastAsia" w:cs="仿宋"/>
          <w:lang w:eastAsia="zh-CN"/>
        </w:rPr>
        <w:t>万元。计划对安泽县和川镇石渠村进行示范村改造，截止目前，安泽县和川镇石渠村乡村振兴示范村建设项目已完工，正进行财务决算。</w:t>
      </w:r>
    </w:p>
    <w:p>
      <w:pPr>
        <w:pStyle w:val="4"/>
        <w:keepNext w:val="0"/>
        <w:keepLines w:val="0"/>
        <w:widowControl w:val="0"/>
        <w:numPr>
          <w:ilvl w:val="0"/>
          <w:numId w:val="1"/>
        </w:numPr>
        <w:ind w:firstLine="640"/>
        <w:rPr>
          <w:lang w:eastAsia="zh-CN"/>
        </w:rPr>
      </w:pPr>
      <w:bookmarkStart w:id="8" w:name="_Toc61943325"/>
      <w:bookmarkStart w:id="9" w:name="_Toc97086026"/>
      <w:bookmarkStart w:id="10" w:name="_Toc66699944"/>
      <w:bookmarkStart w:id="11" w:name="_Toc60066289"/>
      <w:bookmarkStart w:id="12" w:name="_Toc97044149"/>
      <w:r>
        <w:rPr>
          <w:rFonts w:hint="eastAsia"/>
          <w:lang w:eastAsia="zh-CN"/>
        </w:rPr>
        <w:t>评价工作开展情况及评价结果</w:t>
      </w:r>
      <w:bookmarkEnd w:id="8"/>
      <w:bookmarkEnd w:id="9"/>
      <w:bookmarkEnd w:id="10"/>
      <w:bookmarkEnd w:id="11"/>
      <w:bookmarkEnd w:id="12"/>
    </w:p>
    <w:p>
      <w:pPr>
        <w:pStyle w:val="20"/>
        <w:widowControl w:val="0"/>
        <w:spacing w:line="240" w:lineRule="auto"/>
        <w:ind w:firstLine="643"/>
        <w:outlineLvl w:val="2"/>
        <w:rPr>
          <w:rFonts w:ascii="楷体" w:hAnsi="楷体" w:eastAsia="楷体" w:cs="仿宋_GB2312"/>
          <w:b/>
          <w:sz w:val="32"/>
          <w:szCs w:val="32"/>
          <w:lang w:eastAsia="zh-CN"/>
        </w:rPr>
      </w:pPr>
      <w:bookmarkStart w:id="13" w:name="_Toc61943326"/>
      <w:bookmarkStart w:id="14" w:name="_Toc97086027"/>
      <w:bookmarkStart w:id="15" w:name="_Toc66699945"/>
      <w:bookmarkStart w:id="16" w:name="_Toc97044150"/>
      <w:r>
        <w:rPr>
          <w:rFonts w:hint="eastAsia" w:ascii="楷体" w:hAnsi="楷体" w:eastAsia="楷体" w:cs="仿宋_GB2312"/>
          <w:b/>
          <w:sz w:val="32"/>
          <w:szCs w:val="32"/>
          <w:lang w:eastAsia="zh-CN"/>
        </w:rPr>
        <w:t>（一）评价工作开展情况</w:t>
      </w:r>
      <w:bookmarkEnd w:id="13"/>
      <w:bookmarkEnd w:id="14"/>
      <w:bookmarkEnd w:id="15"/>
      <w:bookmarkEnd w:id="16"/>
    </w:p>
    <w:p>
      <w:pPr>
        <w:pStyle w:val="20"/>
        <w:widowControl w:val="0"/>
        <w:spacing w:line="240" w:lineRule="auto"/>
        <w:ind w:firstLine="640"/>
        <w:rPr>
          <w:rFonts w:cs="仿宋_GB2312"/>
          <w:sz w:val="32"/>
          <w:szCs w:val="32"/>
          <w:lang w:eastAsia="zh-CN"/>
        </w:rPr>
      </w:pPr>
      <w:r>
        <w:rPr>
          <w:rFonts w:hint="eastAsia" w:cs="仿宋_GB2312"/>
          <w:sz w:val="32"/>
          <w:szCs w:val="32"/>
          <w:lang w:eastAsia="zh-CN"/>
        </w:rPr>
        <w:t>评价工作分为评价准备、评价实施、评价报告撰写和提交三个阶段。</w:t>
      </w:r>
    </w:p>
    <w:p>
      <w:pPr>
        <w:pStyle w:val="20"/>
        <w:widowControl w:val="0"/>
        <w:spacing w:line="240" w:lineRule="auto"/>
        <w:ind w:firstLine="640"/>
        <w:rPr>
          <w:rFonts w:cs="仿宋_GB2312"/>
          <w:sz w:val="32"/>
          <w:szCs w:val="32"/>
          <w:lang w:eastAsia="zh-CN"/>
        </w:rPr>
      </w:pPr>
      <w:r>
        <w:rPr>
          <w:rFonts w:hint="eastAsia" w:cs="仿宋_GB2312"/>
          <w:sz w:val="32"/>
          <w:szCs w:val="32"/>
          <w:lang w:eastAsia="zh-CN"/>
        </w:rPr>
        <w:t>评价准备阶段：了解项目实施单位对被评价项目的管理流程，初步收集评价资料；确定评价指标，制定评价实施方案，并根据专家评审意见修改评价方案。</w:t>
      </w:r>
    </w:p>
    <w:p>
      <w:pPr>
        <w:pStyle w:val="20"/>
        <w:widowControl w:val="0"/>
        <w:spacing w:line="240" w:lineRule="auto"/>
        <w:ind w:firstLine="640"/>
        <w:rPr>
          <w:rFonts w:cs="仿宋_GB2312"/>
          <w:sz w:val="32"/>
          <w:szCs w:val="32"/>
          <w:lang w:eastAsia="zh-CN"/>
        </w:rPr>
      </w:pPr>
      <w:r>
        <w:rPr>
          <w:rFonts w:hint="eastAsia" w:cs="仿宋_GB2312"/>
          <w:sz w:val="32"/>
          <w:szCs w:val="32"/>
          <w:lang w:eastAsia="zh-CN"/>
        </w:rPr>
        <w:t>评价实施阶段：根据经审核后的评价实施方案，开展数据采集、现场调研、发放问卷、人员访谈等工作，并对数据进行复核及全面的定量分析和综合评价，形成评价结论。</w:t>
      </w:r>
    </w:p>
    <w:p>
      <w:pPr>
        <w:pStyle w:val="20"/>
        <w:widowControl w:val="0"/>
        <w:spacing w:line="240" w:lineRule="auto"/>
        <w:ind w:firstLine="640"/>
        <w:rPr>
          <w:rFonts w:cs="仿宋_GB2312"/>
          <w:sz w:val="32"/>
          <w:szCs w:val="32"/>
          <w:lang w:eastAsia="zh-CN"/>
        </w:rPr>
      </w:pPr>
      <w:r>
        <w:rPr>
          <w:rFonts w:hint="eastAsia" w:cs="仿宋_GB2312"/>
          <w:sz w:val="32"/>
          <w:szCs w:val="32"/>
          <w:lang w:eastAsia="zh-CN"/>
        </w:rPr>
        <w:t>评价报告撰写提交阶段：评价人员根据有关规定，整理、综合分析项目相关信息，撰写绩效评价报告并提交给委托方；在征求各方意见后，对报告进行修改完善，最终提交正式评价报告。</w:t>
      </w:r>
    </w:p>
    <w:p>
      <w:pPr>
        <w:pStyle w:val="20"/>
        <w:widowControl w:val="0"/>
        <w:spacing w:line="240" w:lineRule="auto"/>
        <w:ind w:firstLine="643"/>
        <w:outlineLvl w:val="2"/>
        <w:rPr>
          <w:rFonts w:ascii="楷体" w:hAnsi="楷体" w:eastAsia="楷体" w:cs="仿宋_GB2312"/>
          <w:b/>
          <w:sz w:val="32"/>
          <w:szCs w:val="32"/>
          <w:lang w:eastAsia="zh-CN"/>
        </w:rPr>
      </w:pPr>
      <w:bookmarkStart w:id="17" w:name="_Toc97044151"/>
      <w:bookmarkStart w:id="18" w:name="_Toc66699946"/>
      <w:bookmarkStart w:id="19" w:name="_Toc61943327"/>
      <w:bookmarkStart w:id="20" w:name="_Toc97086028"/>
      <w:r>
        <w:rPr>
          <w:rFonts w:hint="eastAsia" w:ascii="楷体" w:hAnsi="楷体" w:eastAsia="楷体" w:cs="仿宋_GB2312"/>
          <w:b/>
          <w:sz w:val="32"/>
          <w:szCs w:val="32"/>
          <w:lang w:eastAsia="zh-CN"/>
        </w:rPr>
        <w:t>（二）评价结果</w:t>
      </w:r>
      <w:bookmarkEnd w:id="17"/>
      <w:bookmarkEnd w:id="18"/>
      <w:bookmarkEnd w:id="19"/>
      <w:bookmarkEnd w:id="20"/>
    </w:p>
    <w:p>
      <w:pPr>
        <w:widowControl w:val="0"/>
        <w:ind w:firstLine="640"/>
        <w:rPr>
          <w:lang w:eastAsia="zh-CN"/>
        </w:rPr>
      </w:pPr>
      <w:r>
        <w:rPr>
          <w:rFonts w:hint="eastAsia" w:cs="仿宋_GB2312"/>
          <w:szCs w:val="32"/>
          <w:lang w:eastAsia="zh-CN"/>
        </w:rPr>
        <w:t>项目已完成石渠村康养驿站、民宿、公厕、剧院、生态停车场、绿化景观、给水污水管网等改造。项目资金投入共计1</w:t>
      </w:r>
      <w:r>
        <w:rPr>
          <w:rFonts w:cs="仿宋_GB2312"/>
          <w:szCs w:val="32"/>
          <w:lang w:eastAsia="zh-CN"/>
        </w:rPr>
        <w:t>250</w:t>
      </w:r>
      <w:r>
        <w:rPr>
          <w:rFonts w:hint="eastAsia" w:cs="仿宋_GB2312"/>
          <w:szCs w:val="32"/>
          <w:lang w:eastAsia="zh-CN"/>
        </w:rPr>
        <w:t>万元，资金已全部拨付，</w:t>
      </w:r>
      <w:r>
        <w:rPr>
          <w:rFonts w:hint="eastAsia"/>
          <w:lang w:eastAsia="zh-CN"/>
        </w:rPr>
        <w:t>截至2</w:t>
      </w:r>
      <w:r>
        <w:rPr>
          <w:lang w:eastAsia="zh-CN"/>
        </w:rPr>
        <w:t>022</w:t>
      </w:r>
      <w:r>
        <w:rPr>
          <w:rFonts w:hint="eastAsia"/>
          <w:lang w:eastAsia="zh-CN"/>
        </w:rPr>
        <w:t>年底，已支付1</w:t>
      </w:r>
      <w:r>
        <w:rPr>
          <w:lang w:eastAsia="zh-CN"/>
        </w:rPr>
        <w:t>051.25</w:t>
      </w:r>
      <w:r>
        <w:rPr>
          <w:rFonts w:hint="eastAsia"/>
          <w:lang w:eastAsia="zh-CN"/>
        </w:rPr>
        <w:t>万元，202</w:t>
      </w:r>
      <w:r>
        <w:rPr>
          <w:lang w:eastAsia="zh-CN"/>
        </w:rPr>
        <w:t>3</w:t>
      </w:r>
      <w:r>
        <w:rPr>
          <w:rFonts w:hint="eastAsia"/>
          <w:lang w:eastAsia="zh-CN"/>
        </w:rPr>
        <w:t>年支付款项1</w:t>
      </w:r>
      <w:r>
        <w:rPr>
          <w:lang w:eastAsia="zh-CN"/>
        </w:rPr>
        <w:t>60</w:t>
      </w:r>
      <w:r>
        <w:rPr>
          <w:rFonts w:hint="eastAsia"/>
          <w:lang w:eastAsia="zh-CN"/>
        </w:rPr>
        <w:t>万元，结余3</w:t>
      </w:r>
      <w:r>
        <w:rPr>
          <w:lang w:eastAsia="zh-CN"/>
        </w:rPr>
        <w:t>8.75</w:t>
      </w:r>
      <w:r>
        <w:rPr>
          <w:rFonts w:hint="eastAsia"/>
          <w:lang w:eastAsia="zh-CN"/>
        </w:rPr>
        <w:t>万元未支付（因项目还在财务决算，不是最终结余金额）。</w:t>
      </w:r>
      <w:r>
        <w:rPr>
          <w:rFonts w:hint="eastAsia" w:cs="仿宋_GB2312"/>
          <w:szCs w:val="32"/>
          <w:lang w:eastAsia="zh-CN"/>
        </w:rPr>
        <w:t>资金主要用于石渠村乡村示范村改造的支出。预算执行率为</w:t>
      </w:r>
      <w:r>
        <w:rPr>
          <w:rFonts w:cs="仿宋_GB2312"/>
          <w:szCs w:val="32"/>
          <w:lang w:eastAsia="zh-CN"/>
        </w:rPr>
        <w:t>96.90%</w:t>
      </w:r>
      <w:r>
        <w:rPr>
          <w:rFonts w:hint="eastAsia" w:cs="仿宋_GB2312"/>
          <w:szCs w:val="32"/>
          <w:lang w:eastAsia="zh-CN"/>
        </w:rPr>
        <w:t>。</w:t>
      </w:r>
    </w:p>
    <w:p>
      <w:pPr>
        <w:pStyle w:val="20"/>
        <w:widowControl w:val="0"/>
        <w:spacing w:line="240" w:lineRule="auto"/>
        <w:ind w:firstLine="640"/>
        <w:rPr>
          <w:rFonts w:cs="仿宋_GB2312"/>
          <w:sz w:val="32"/>
          <w:szCs w:val="32"/>
          <w:lang w:eastAsia="zh-CN"/>
        </w:rPr>
      </w:pPr>
      <w:r>
        <w:rPr>
          <w:rFonts w:hint="eastAsia" w:cs="仿宋_GB2312"/>
          <w:sz w:val="32"/>
          <w:szCs w:val="32"/>
          <w:lang w:eastAsia="zh-CN"/>
        </w:rPr>
        <w:t>依据项目基础信息统计，结合现场勘查结果，按照评价组研制的评价指标体系，石渠村乡村振兴示范村建设项目</w:t>
      </w:r>
      <w:r>
        <w:rPr>
          <w:rFonts w:cs="仿宋_GB2312"/>
          <w:sz w:val="32"/>
          <w:szCs w:val="32"/>
          <w:lang w:eastAsia="zh-CN"/>
        </w:rPr>
        <w:t>绩效评价得分为94分，绩效</w:t>
      </w:r>
      <w:r>
        <w:rPr>
          <w:rFonts w:hint="eastAsia" w:cs="仿宋_GB2312"/>
          <w:sz w:val="32"/>
          <w:szCs w:val="32"/>
          <w:lang w:eastAsia="zh-CN"/>
        </w:rPr>
        <w:t>等</w:t>
      </w:r>
      <w:r>
        <w:rPr>
          <w:rFonts w:cs="仿宋_GB2312"/>
          <w:sz w:val="32"/>
          <w:szCs w:val="32"/>
          <w:lang w:eastAsia="zh-CN"/>
        </w:rPr>
        <w:t>级为“</w:t>
      </w:r>
      <w:r>
        <w:rPr>
          <w:rFonts w:hint="eastAsia" w:cs="仿宋_GB2312"/>
          <w:sz w:val="32"/>
          <w:szCs w:val="32"/>
          <w:lang w:eastAsia="zh-CN"/>
        </w:rPr>
        <w:t>优</w:t>
      </w:r>
      <w:r>
        <w:rPr>
          <w:rFonts w:cs="仿宋_GB2312"/>
          <w:sz w:val="32"/>
          <w:szCs w:val="32"/>
          <w:lang w:eastAsia="zh-CN"/>
        </w:rPr>
        <w:t>”。</w:t>
      </w:r>
    </w:p>
    <w:p>
      <w:pPr>
        <w:pStyle w:val="4"/>
        <w:keepNext w:val="0"/>
        <w:keepLines w:val="0"/>
        <w:widowControl w:val="0"/>
        <w:numPr>
          <w:ilvl w:val="0"/>
          <w:numId w:val="1"/>
        </w:numPr>
        <w:ind w:firstLine="640"/>
        <w:rPr>
          <w:lang w:eastAsia="zh-CN"/>
        </w:rPr>
      </w:pPr>
      <w:bookmarkStart w:id="21" w:name="_Toc66699947"/>
      <w:bookmarkStart w:id="22" w:name="_Toc97086029"/>
      <w:bookmarkStart w:id="23" w:name="_Toc61943328"/>
      <w:bookmarkStart w:id="24" w:name="_Toc60066291"/>
      <w:bookmarkStart w:id="25" w:name="_Toc97044152"/>
      <w:r>
        <w:rPr>
          <w:rFonts w:hint="eastAsia"/>
          <w:lang w:eastAsia="zh-CN"/>
        </w:rPr>
        <w:t>主要成效和经验做法</w:t>
      </w:r>
      <w:bookmarkEnd w:id="21"/>
      <w:bookmarkEnd w:id="22"/>
      <w:bookmarkEnd w:id="23"/>
      <w:bookmarkEnd w:id="24"/>
      <w:bookmarkEnd w:id="25"/>
    </w:p>
    <w:p>
      <w:pPr>
        <w:widowControl w:val="0"/>
        <w:ind w:firstLine="640" w:firstLineChars="0"/>
        <w:rPr>
          <w:lang w:eastAsia="zh-CN"/>
        </w:rPr>
      </w:pPr>
      <w:r>
        <w:rPr>
          <w:rFonts w:hint="eastAsia" w:ascii="楷体" w:hAnsi="楷体" w:eastAsia="楷体" w:cs="仿宋_GB2312"/>
          <w:b/>
          <w:szCs w:val="32"/>
          <w:lang w:eastAsia="zh-CN"/>
        </w:rPr>
        <w:t>（一）主要成效</w:t>
      </w:r>
    </w:p>
    <w:p>
      <w:pPr>
        <w:widowControl w:val="0"/>
        <w:ind w:firstLine="640"/>
        <w:rPr>
          <w:lang w:eastAsia="zh-CN"/>
        </w:rPr>
      </w:pPr>
      <w:r>
        <w:rPr>
          <w:rFonts w:hint="eastAsia"/>
          <w:lang w:eastAsia="zh-CN"/>
        </w:rPr>
        <w:t>石渠村乡村振兴示范村建设项目实施后，完成石渠村驿站、民宿、生态停车场、全村污水给水管网等改造，</w:t>
      </w:r>
      <w:r>
        <w:rPr>
          <w:rFonts w:hint="eastAsia" w:cs="仿宋"/>
          <w:lang w:eastAsia="zh-CN"/>
        </w:rPr>
        <w:t>加强了区域生态文明建设，改善了农村人居环境和生产生活条件，加快了新农村建设，</w:t>
      </w:r>
      <w:r>
        <w:rPr>
          <w:lang w:eastAsia="zh-CN"/>
        </w:rPr>
        <w:t>全面促进乡村振兴。</w:t>
      </w:r>
    </w:p>
    <w:p>
      <w:pPr>
        <w:pStyle w:val="20"/>
        <w:widowControl w:val="0"/>
        <w:spacing w:line="240" w:lineRule="auto"/>
        <w:ind w:firstLine="643"/>
        <w:outlineLvl w:val="2"/>
        <w:rPr>
          <w:rFonts w:ascii="楷体" w:hAnsi="楷体" w:eastAsia="楷体" w:cs="仿宋_GB2312"/>
          <w:b/>
          <w:sz w:val="32"/>
          <w:szCs w:val="32"/>
          <w:lang w:eastAsia="zh-CN"/>
        </w:rPr>
      </w:pPr>
      <w:r>
        <w:rPr>
          <w:rFonts w:hint="eastAsia" w:ascii="楷体" w:hAnsi="楷体" w:eastAsia="楷体" w:cs="仿宋_GB2312"/>
          <w:b/>
          <w:sz w:val="32"/>
          <w:szCs w:val="32"/>
          <w:lang w:eastAsia="zh-CN"/>
        </w:rPr>
        <w:t>（二）主要经验做法</w:t>
      </w:r>
    </w:p>
    <w:p>
      <w:pPr>
        <w:pStyle w:val="6"/>
        <w:keepNext w:val="0"/>
        <w:keepLines w:val="0"/>
        <w:widowControl w:val="0"/>
        <w:ind w:firstLine="643"/>
        <w:rPr>
          <w:rFonts w:cs="仿宋"/>
          <w:lang w:eastAsia="zh-CN"/>
        </w:rPr>
      </w:pPr>
      <w:bookmarkStart w:id="26" w:name="_Toc97044153"/>
      <w:bookmarkStart w:id="27" w:name="_Toc97086030"/>
      <w:r>
        <w:rPr>
          <w:rFonts w:hint="eastAsia" w:cs="仿宋"/>
          <w:lang w:eastAsia="zh-CN"/>
        </w:rPr>
        <w:t>1.因地制宜，明确创建工作目标。</w:t>
      </w:r>
    </w:p>
    <w:p>
      <w:pPr>
        <w:widowControl w:val="0"/>
        <w:ind w:firstLine="640"/>
        <w:rPr>
          <w:lang w:eastAsia="zh-CN"/>
        </w:rPr>
      </w:pPr>
      <w:r>
        <w:rPr>
          <w:rFonts w:hint="eastAsia"/>
          <w:lang w:eastAsia="zh-CN"/>
        </w:rPr>
        <w:t>安泽县和川镇人民政府以示范村创建为重点，以农村人居环境整治提升为抓手，因地制宜培育1个以上特色明显、规模较大和效益显著的优势主导产业，大力发展休闲农业、观光农业和乡村旅游业，完善基础设施建设，积极创建乡村振兴示范村。</w:t>
      </w:r>
    </w:p>
    <w:p>
      <w:pPr>
        <w:pStyle w:val="6"/>
        <w:keepLines w:val="0"/>
        <w:widowControl w:val="0"/>
        <w:ind w:firstLine="643"/>
        <w:rPr>
          <w:rFonts w:cs="仿宋"/>
          <w:lang w:eastAsia="zh-CN"/>
        </w:rPr>
      </w:pPr>
      <w:r>
        <w:rPr>
          <w:rFonts w:hint="eastAsia" w:cs="仿宋"/>
          <w:lang w:eastAsia="zh-CN"/>
        </w:rPr>
        <w:t>2.聚焦产业促进乡村发展，推动形成“一县一业”发展格局。</w:t>
      </w:r>
    </w:p>
    <w:p>
      <w:pPr>
        <w:widowControl w:val="0"/>
        <w:ind w:firstLine="640"/>
        <w:rPr>
          <w:lang w:eastAsia="zh-CN"/>
        </w:rPr>
      </w:pPr>
      <w:r>
        <w:rPr>
          <w:rFonts w:hint="eastAsia"/>
          <w:lang w:eastAsia="zh-CN"/>
        </w:rPr>
        <w:t>安泽县和川镇人民政府</w:t>
      </w:r>
      <w:r>
        <w:rPr>
          <w:rFonts w:hint="eastAsia" w:cs="仿宋_GB2312"/>
          <w:lang w:eastAsia="zh-CN"/>
        </w:rPr>
        <w:t>持续推进安泽县一二三产业融合发展，以避暑康养产业为突破口，打造“二线一点，五风三味”经济模型，构建村民庭院经济，壮大村集体经济，改善村民生活环境。</w:t>
      </w:r>
    </w:p>
    <w:p>
      <w:pPr>
        <w:pStyle w:val="4"/>
        <w:keepNext w:val="0"/>
        <w:keepLines w:val="0"/>
        <w:widowControl w:val="0"/>
        <w:numPr>
          <w:ilvl w:val="0"/>
          <w:numId w:val="1"/>
        </w:numPr>
        <w:ind w:firstLine="640"/>
        <w:rPr>
          <w:lang w:eastAsia="zh-CN"/>
        </w:rPr>
      </w:pPr>
      <w:r>
        <w:rPr>
          <w:rFonts w:hint="eastAsia"/>
          <w:lang w:eastAsia="zh-CN"/>
        </w:rPr>
        <w:t>存在问题及原因分析</w:t>
      </w:r>
      <w:bookmarkEnd w:id="26"/>
      <w:bookmarkEnd w:id="27"/>
    </w:p>
    <w:p>
      <w:pPr>
        <w:widowControl w:val="0"/>
        <w:ind w:firstLine="640" w:firstLineChars="0"/>
        <w:rPr>
          <w:rFonts w:ascii="楷体" w:hAnsi="楷体" w:eastAsia="楷体" w:cs="仿宋_GB2312"/>
          <w:b/>
          <w:szCs w:val="32"/>
          <w:lang w:eastAsia="zh-CN"/>
        </w:rPr>
      </w:pPr>
      <w:bookmarkStart w:id="28" w:name="_Toc60066292"/>
      <w:bookmarkStart w:id="29" w:name="_Toc97086033"/>
      <w:bookmarkStart w:id="30" w:name="_Toc66699948"/>
      <w:bookmarkStart w:id="31" w:name="_Toc97044156"/>
      <w:bookmarkStart w:id="32" w:name="_Toc61943329"/>
      <w:r>
        <w:rPr>
          <w:rFonts w:hint="eastAsia" w:ascii="楷体" w:hAnsi="楷体" w:eastAsia="楷体" w:cs="仿宋_GB2312"/>
          <w:b/>
          <w:szCs w:val="32"/>
          <w:lang w:eastAsia="zh-CN"/>
        </w:rPr>
        <w:t>（一）绩效目标不合理，绩效指标不明确</w:t>
      </w:r>
    </w:p>
    <w:p>
      <w:pPr>
        <w:widowControl w:val="0"/>
        <w:ind w:firstLine="640"/>
        <w:rPr>
          <w:lang w:eastAsia="zh-CN"/>
        </w:rPr>
      </w:pPr>
      <w:r>
        <w:rPr>
          <w:rFonts w:hint="eastAsia"/>
          <w:lang w:eastAsia="zh-CN"/>
        </w:rPr>
        <w:t>安泽县和川镇人民政府在项目决策方面，设立了产出目标、社会效益等方面的绩效目标，但未设立经济效益，目标设置不合理，同时在定量表述上不够全面，未对指标进行量化，如改善石渠村的生态环境，应加强绩效目标辅导工作。原因是安泽县和川镇人民政府因无法把控效益目标的量化程度，对项目效益情况等方面未做具体量化，在整个项目实施中部分效益没有一个清晰明确的方向。</w:t>
      </w:r>
    </w:p>
    <w:p>
      <w:pPr>
        <w:widowControl w:val="0"/>
        <w:ind w:firstLine="640" w:firstLineChars="0"/>
        <w:rPr>
          <w:rFonts w:ascii="楷体" w:hAnsi="楷体" w:eastAsia="楷体" w:cs="仿宋_GB2312"/>
          <w:b/>
          <w:szCs w:val="32"/>
          <w:lang w:eastAsia="zh-CN"/>
        </w:rPr>
      </w:pPr>
      <w:r>
        <w:rPr>
          <w:rFonts w:hint="eastAsia" w:ascii="楷体" w:hAnsi="楷体" w:eastAsia="楷体" w:cs="仿宋_GB2312"/>
          <w:b/>
          <w:szCs w:val="32"/>
          <w:lang w:eastAsia="zh-CN"/>
        </w:rPr>
        <w:t>（二）管理制度不健全，制度执行率低</w:t>
      </w:r>
    </w:p>
    <w:p>
      <w:pPr>
        <w:widowControl w:val="0"/>
        <w:ind w:firstLine="640"/>
        <w:rPr>
          <w:lang w:eastAsia="zh-CN"/>
        </w:rPr>
      </w:pPr>
      <w:r>
        <w:rPr>
          <w:rFonts w:hint="eastAsia"/>
          <w:bCs/>
          <w:lang w:eastAsia="zh-CN"/>
        </w:rPr>
        <w:t>安泽县和川镇人民政府在组织实施方面，未针对石渠村乡村振兴示范村建设项目具体制定系统明确的</w:t>
      </w:r>
      <w:r>
        <w:rPr>
          <w:rFonts w:hint="eastAsia"/>
          <w:lang w:eastAsia="zh-CN"/>
        </w:rPr>
        <w:t>资金管理制度，使得项目的资金管理缺少明文约束，也未形成动态监管机制，不利于对项目的专门管理和监督。原因是安泽县</w:t>
      </w:r>
      <w:r>
        <w:rPr>
          <w:rFonts w:hint="eastAsia"/>
          <w:bCs/>
          <w:lang w:eastAsia="zh-CN"/>
        </w:rPr>
        <w:t>和川镇人民政府</w:t>
      </w:r>
      <w:r>
        <w:rPr>
          <w:rFonts w:hint="eastAsia"/>
          <w:lang w:eastAsia="zh-CN"/>
        </w:rPr>
        <w:t>因项目建设资金管理制度一般都大同小异，对基本建设项目不做专项资金管理制度，习惯遵照《安泽县和川镇人民政府资金管理制度》进行日常的财务管理。</w:t>
      </w:r>
    </w:p>
    <w:p>
      <w:pPr>
        <w:widowControl w:val="0"/>
        <w:ind w:firstLine="640" w:firstLineChars="0"/>
        <w:rPr>
          <w:rFonts w:ascii="楷体" w:hAnsi="楷体" w:eastAsia="楷体" w:cs="仿宋_GB2312"/>
          <w:b/>
          <w:szCs w:val="32"/>
          <w:lang w:eastAsia="zh-CN"/>
        </w:rPr>
      </w:pPr>
      <w:r>
        <w:rPr>
          <w:rFonts w:hint="eastAsia" w:ascii="楷体" w:hAnsi="楷体" w:eastAsia="楷体" w:cs="仿宋_GB2312"/>
          <w:b/>
          <w:szCs w:val="32"/>
          <w:lang w:eastAsia="zh-CN"/>
        </w:rPr>
        <w:t>（三）项目后续管护维修的监管制度不健全</w:t>
      </w:r>
    </w:p>
    <w:p>
      <w:pPr>
        <w:widowControl w:val="0"/>
        <w:ind w:firstLine="640"/>
        <w:rPr>
          <w:lang w:eastAsia="zh-CN"/>
        </w:rPr>
      </w:pPr>
      <w:r>
        <w:rPr>
          <w:rFonts w:hint="eastAsia"/>
          <w:bCs/>
          <w:lang w:eastAsia="zh-CN"/>
        </w:rPr>
        <w:t>在实地考察时，发现项目建成后，驿站和民宿由第三方承包，每年给村委交租金，房屋及屋内设备由第三方自行进行管理和维护，改造的污水给水管网和绿化景观等由村委负责日常管理维护，</w:t>
      </w:r>
      <w:r>
        <w:rPr>
          <w:rFonts w:hint="eastAsia"/>
          <w:lang w:eastAsia="zh-CN"/>
        </w:rPr>
        <w:t>但石渠村并未制定项目专项管护维修监管制度。原因是项目刚建成，村委进行日常管理习惯遵循村委一般规章制度。</w:t>
      </w:r>
    </w:p>
    <w:p>
      <w:pPr>
        <w:pStyle w:val="4"/>
        <w:keepNext w:val="0"/>
        <w:keepLines w:val="0"/>
        <w:widowControl w:val="0"/>
        <w:ind w:firstLine="640"/>
        <w:rPr>
          <w:bCs w:val="0"/>
          <w:lang w:eastAsia="zh-CN"/>
        </w:rPr>
      </w:pPr>
      <w:r>
        <w:rPr>
          <w:rFonts w:hint="eastAsia"/>
          <w:szCs w:val="32"/>
          <w:lang w:eastAsia="zh-CN"/>
        </w:rPr>
        <w:t>五、</w:t>
      </w:r>
      <w:r>
        <w:rPr>
          <w:rFonts w:hint="eastAsia"/>
          <w:bCs w:val="0"/>
          <w:lang w:eastAsia="zh-CN"/>
        </w:rPr>
        <w:t>有关建议</w:t>
      </w:r>
      <w:bookmarkEnd w:id="28"/>
      <w:bookmarkEnd w:id="29"/>
      <w:bookmarkEnd w:id="30"/>
      <w:bookmarkEnd w:id="31"/>
      <w:bookmarkEnd w:id="32"/>
    </w:p>
    <w:p>
      <w:pPr>
        <w:pStyle w:val="70"/>
        <w:widowControl w:val="0"/>
        <w:ind w:firstLine="640"/>
        <w:rPr>
          <w:lang w:eastAsia="zh-CN"/>
        </w:rPr>
      </w:pPr>
      <w:r>
        <w:rPr>
          <w:rFonts w:hint="eastAsia"/>
          <w:lang w:eastAsia="zh-CN"/>
        </w:rPr>
        <w:t>（一）加强安泽县和川镇人民政府有关部门的绩效学习，增强项目单位绩效理念和绩效意识，清楚绩效评价工作，对项目立项申报应统一申报内容、明确申报要求，强调制定清晰的、细化的定性、定量绩效目标。</w:t>
      </w:r>
    </w:p>
    <w:p>
      <w:pPr>
        <w:pStyle w:val="70"/>
        <w:widowControl w:val="0"/>
        <w:ind w:firstLine="640"/>
        <w:rPr>
          <w:lang w:eastAsia="zh-CN"/>
        </w:rPr>
      </w:pPr>
      <w:r>
        <w:rPr>
          <w:rFonts w:hint="eastAsia"/>
          <w:lang w:eastAsia="zh-CN"/>
        </w:rPr>
        <w:t>（二）建议安泽县和川镇人民政府尽快针对项目特点制定资金管理制度，针对石渠村乡村振兴示范村建设项目资金制定专项资金管理制度，使工作开展与评判有据可循、有据可依。</w:t>
      </w:r>
    </w:p>
    <w:p>
      <w:pPr>
        <w:pStyle w:val="70"/>
        <w:widowControl w:val="0"/>
        <w:ind w:firstLine="640"/>
        <w:rPr>
          <w:lang w:eastAsia="zh-CN"/>
        </w:rPr>
      </w:pPr>
      <w:r>
        <w:rPr>
          <w:rFonts w:hint="eastAsia"/>
          <w:lang w:eastAsia="zh-CN"/>
        </w:rPr>
        <w:t>（三）建议安泽县和川镇人民政府尽快制定项目专项管护维修的监管制度，加强监管力度，维护村内设施设备安全，定期对设施设备进行“体检”，全方位对设施设备的使用状况和安全隐患进行排查，延长设施设备使用寿命。</w:t>
      </w:r>
    </w:p>
    <w:p>
      <w:pPr>
        <w:widowControl w:val="0"/>
        <w:spacing w:line="240" w:lineRule="auto"/>
        <w:ind w:firstLine="0" w:firstLineChars="0"/>
        <w:jc w:val="center"/>
        <w:rPr>
          <w:rFonts w:ascii="宋体" w:hAnsi="宋体" w:eastAsia="宋体" w:cs="宋体"/>
          <w:b/>
          <w:sz w:val="44"/>
          <w:lang w:eastAsia="zh-CN"/>
        </w:rPr>
        <w:sectPr>
          <w:footerReference r:id="rId11" w:type="default"/>
          <w:pgSz w:w="11906" w:h="16838"/>
          <w:pgMar w:top="1440" w:right="1800" w:bottom="1440" w:left="1800" w:header="720" w:footer="720" w:gutter="0"/>
          <w:pgNumType w:fmt="upperRoman" w:start="1"/>
          <w:cols w:space="720" w:num="1"/>
          <w:docGrid w:type="lines" w:linePitch="312" w:charSpace="0"/>
        </w:sectPr>
      </w:pPr>
    </w:p>
    <w:p>
      <w:pPr>
        <w:widowControl w:val="0"/>
        <w:spacing w:line="240" w:lineRule="auto"/>
        <w:ind w:firstLine="0" w:firstLineChars="0"/>
        <w:jc w:val="center"/>
        <w:rPr>
          <w:rFonts w:cs="宋体"/>
          <w:b/>
          <w:sz w:val="44"/>
          <w:lang w:eastAsia="zh-CN"/>
        </w:rPr>
      </w:pPr>
      <w:r>
        <w:rPr>
          <w:rFonts w:hint="eastAsia" w:cs="宋体"/>
          <w:b/>
          <w:sz w:val="44"/>
          <w:lang w:eastAsia="zh-CN"/>
        </w:rPr>
        <w:t>安泽县2</w:t>
      </w:r>
      <w:r>
        <w:rPr>
          <w:rFonts w:cs="宋体"/>
          <w:b/>
          <w:sz w:val="44"/>
          <w:lang w:eastAsia="zh-CN"/>
        </w:rPr>
        <w:t>022</w:t>
      </w:r>
      <w:r>
        <w:rPr>
          <w:rFonts w:hint="eastAsia" w:cs="宋体"/>
          <w:b/>
          <w:sz w:val="44"/>
          <w:lang w:eastAsia="zh-CN"/>
        </w:rPr>
        <w:t>年石渠村乡村振兴示范村建设项目支出绩效评价报告</w:t>
      </w:r>
      <w:r>
        <w:rPr>
          <w:rFonts w:hint="eastAsia" w:cs="宋体"/>
          <w:b/>
          <w:sz w:val="44"/>
          <w:lang w:eastAsia="zh-CN"/>
        </w:rPr>
        <w:cr/>
      </w:r>
    </w:p>
    <w:p>
      <w:pPr>
        <w:widowControl w:val="0"/>
        <w:ind w:firstLine="640"/>
        <w:rPr>
          <w:lang w:eastAsia="zh-CN"/>
        </w:rPr>
      </w:pPr>
      <w:r>
        <w:rPr>
          <w:rFonts w:hint="eastAsia"/>
          <w:lang w:eastAsia="zh-CN"/>
        </w:rPr>
        <w:t>为进一步加强财政预算绩效管理，强化监督，保证项目资金使用管理的规范性、安全性和有效性，为项目后期资金的投入、管理、使用等决策提供依据，实现项目管理成本最低化、效率最优化、绩效最大化，受</w:t>
      </w:r>
      <w:r>
        <w:rPr>
          <w:lang w:eastAsia="zh-CN"/>
        </w:rPr>
        <w:t>安泽县</w:t>
      </w:r>
      <w:r>
        <w:rPr>
          <w:rFonts w:hint="eastAsia"/>
          <w:lang w:eastAsia="zh-CN"/>
        </w:rPr>
        <w:t>财政局委托，我</w:t>
      </w:r>
      <w:r>
        <w:rPr>
          <w:lang w:eastAsia="zh-CN"/>
        </w:rPr>
        <w:t>单位</w:t>
      </w:r>
      <w:r>
        <w:rPr>
          <w:rFonts w:hint="eastAsia"/>
          <w:lang w:eastAsia="zh-CN"/>
        </w:rPr>
        <w:t>承担石渠村乡村振兴示范村建设项目绩效评价工作。评价工作经过评价方案制定与论证、数据采集与复核、现场核查、问卷调研以及综合评分等环节，形成本报告。现汇报如下：</w:t>
      </w:r>
    </w:p>
    <w:p>
      <w:pPr>
        <w:pStyle w:val="4"/>
        <w:keepNext w:val="0"/>
        <w:keepLines w:val="0"/>
        <w:widowControl w:val="0"/>
        <w:ind w:firstLine="640"/>
        <w:rPr>
          <w:lang w:eastAsia="zh-CN"/>
        </w:rPr>
      </w:pPr>
      <w:bookmarkStart w:id="33" w:name="_Toc97086034"/>
      <w:r>
        <w:rPr>
          <w:rFonts w:hint="eastAsia"/>
          <w:lang w:eastAsia="zh-CN"/>
        </w:rPr>
        <w:t>一、基本</w:t>
      </w:r>
      <w:r>
        <w:rPr>
          <w:lang w:eastAsia="zh-CN"/>
        </w:rPr>
        <w:t>情况</w:t>
      </w:r>
      <w:bookmarkEnd w:id="33"/>
    </w:p>
    <w:p>
      <w:pPr>
        <w:pStyle w:val="5"/>
        <w:keepNext w:val="0"/>
        <w:keepLines w:val="0"/>
        <w:widowControl w:val="0"/>
        <w:ind w:firstLine="643"/>
        <w:rPr>
          <w:rFonts w:ascii="仿宋_GB2312" w:hAnsi="仿宋_GB2312" w:eastAsia="仿宋_GB2312" w:cs="仿宋_GB2312"/>
          <w:lang w:eastAsia="zh-CN"/>
        </w:rPr>
      </w:pPr>
      <w:bookmarkStart w:id="34" w:name="_Toc97086035"/>
      <w:r>
        <w:rPr>
          <w:rFonts w:hint="eastAsia"/>
          <w:lang w:eastAsia="zh-CN"/>
        </w:rPr>
        <w:t>（一）</w:t>
      </w:r>
      <w:r>
        <w:rPr>
          <w:lang w:eastAsia="zh-CN"/>
        </w:rPr>
        <w:t>项目概况</w:t>
      </w:r>
      <w:bookmarkEnd w:id="34"/>
    </w:p>
    <w:p>
      <w:pPr>
        <w:pStyle w:val="6"/>
        <w:keepNext w:val="0"/>
        <w:keepLines w:val="0"/>
        <w:widowControl w:val="0"/>
        <w:ind w:firstLine="643"/>
        <w:rPr>
          <w:lang w:eastAsia="zh-CN"/>
        </w:rPr>
      </w:pPr>
      <w:bookmarkStart w:id="35" w:name="_Toc91979613"/>
      <w:bookmarkStart w:id="36" w:name="_Toc96054828"/>
      <w:bookmarkStart w:id="37" w:name="_Toc97086036"/>
      <w:r>
        <w:rPr>
          <w:rFonts w:hint="eastAsia"/>
          <w:lang w:eastAsia="zh-CN"/>
        </w:rPr>
        <w:t>1.项目背景。</w:t>
      </w:r>
      <w:bookmarkEnd w:id="35"/>
      <w:bookmarkEnd w:id="36"/>
      <w:bookmarkEnd w:id="37"/>
    </w:p>
    <w:p>
      <w:pPr>
        <w:widowControl w:val="0"/>
        <w:ind w:firstLine="640"/>
        <w:rPr>
          <w:rFonts w:cs="仿宋"/>
          <w:lang w:eastAsia="zh-CN"/>
        </w:rPr>
      </w:pPr>
      <w:bookmarkStart w:id="38" w:name="_Hlk152490619"/>
      <w:bookmarkStart w:id="39" w:name="_Toc97086037"/>
      <w:bookmarkStart w:id="40" w:name="_Toc91979614"/>
      <w:bookmarkStart w:id="41" w:name="_Toc96054829"/>
      <w:r>
        <w:rPr>
          <w:rFonts w:hint="eastAsia" w:cs="仿宋"/>
          <w:lang w:eastAsia="zh-CN"/>
        </w:rPr>
        <w:t>石渠村乡村振兴示范村建设项目是响应党的十九大“实施乡村振兴战略”的要求，是安泽县2</w:t>
      </w:r>
      <w:r>
        <w:rPr>
          <w:rFonts w:cs="仿宋"/>
          <w:lang w:eastAsia="zh-CN"/>
        </w:rPr>
        <w:t>022</w:t>
      </w:r>
      <w:r>
        <w:rPr>
          <w:rFonts w:hint="eastAsia" w:cs="仿宋"/>
          <w:lang w:eastAsia="zh-CN"/>
        </w:rPr>
        <w:t>年重点建设项目，是</w:t>
      </w:r>
      <w:r>
        <w:rPr>
          <w:lang w:eastAsia="zh-CN"/>
        </w:rPr>
        <w:t>顺应社会发展趋势的升级版的城镇化基础设施和农村人均环境改善工程</w:t>
      </w:r>
      <w:r>
        <w:rPr>
          <w:rFonts w:hint="eastAsia"/>
          <w:lang w:eastAsia="zh-CN"/>
        </w:rPr>
        <w:t>，对优化乡村环境、提高乡村基础设施水平、拉动当地经济发展、提高沿线居民生活质量等方面有着重要的意义。</w:t>
      </w:r>
    </w:p>
    <w:p>
      <w:pPr>
        <w:widowControl w:val="0"/>
        <w:ind w:firstLine="640"/>
        <w:rPr>
          <w:rFonts w:cs="仿宋"/>
          <w:lang w:eastAsia="zh-CN"/>
        </w:rPr>
      </w:pPr>
      <w:r>
        <w:rPr>
          <w:lang w:eastAsia="zh-CN"/>
        </w:rPr>
        <w:t>党的十九大提出</w:t>
      </w:r>
      <w:r>
        <w:rPr>
          <w:rFonts w:hint="eastAsia"/>
          <w:lang w:eastAsia="zh-CN"/>
        </w:rPr>
        <w:t>了</w:t>
      </w:r>
      <w:r>
        <w:rPr>
          <w:lang w:eastAsia="zh-CN"/>
        </w:rPr>
        <w:t>实施振兴乡村战略，意义重大而深远。这是站在新时代的历史起点上提出决胜全面建成小康社会、全面建设社会主义现代化国家的重大历史任务，是新时代”三农”工作的新旗帜和总抓手</w:t>
      </w:r>
      <w:r>
        <w:rPr>
          <w:rFonts w:hint="eastAsia"/>
          <w:lang w:eastAsia="zh-CN"/>
        </w:rPr>
        <w:t>，</w:t>
      </w:r>
      <w:r>
        <w:rPr>
          <w:lang w:eastAsia="zh-CN"/>
        </w:rPr>
        <w:t>反映了时代的呼唤、发展的必然人民的期盼。</w:t>
      </w:r>
    </w:p>
    <w:p>
      <w:pPr>
        <w:widowControl w:val="0"/>
        <w:ind w:firstLine="640"/>
        <w:rPr>
          <w:rFonts w:cs="仿宋"/>
          <w:lang w:eastAsia="zh-CN"/>
        </w:rPr>
      </w:pPr>
      <w:r>
        <w:rPr>
          <w:lang w:eastAsia="zh-CN"/>
        </w:rPr>
        <w:t>中共中央</w:t>
      </w:r>
      <w:r>
        <w:rPr>
          <w:rFonts w:hint="eastAsia"/>
          <w:lang w:eastAsia="zh-CN"/>
        </w:rPr>
        <w:t>、</w:t>
      </w:r>
      <w:r>
        <w:rPr>
          <w:lang w:eastAsia="zh-CN"/>
        </w:rPr>
        <w:t>国务院印发</w:t>
      </w:r>
      <w:r>
        <w:rPr>
          <w:rFonts w:hint="eastAsia"/>
          <w:lang w:eastAsia="zh-CN"/>
        </w:rPr>
        <w:t>关于《</w:t>
      </w:r>
      <w:r>
        <w:rPr>
          <w:lang w:eastAsia="zh-CN"/>
        </w:rPr>
        <w:t>乡村振兴战略规划（2018</w:t>
      </w:r>
      <w:r>
        <w:rPr>
          <w:rFonts w:hint="eastAsia"/>
          <w:lang w:eastAsia="zh-CN"/>
        </w:rPr>
        <w:t>-</w:t>
      </w:r>
      <w:r>
        <w:rPr>
          <w:lang w:eastAsia="zh-CN"/>
        </w:rPr>
        <w:t>2022年）》</w:t>
      </w:r>
      <w:r>
        <w:rPr>
          <w:rFonts w:hint="eastAsia"/>
          <w:lang w:eastAsia="zh-CN"/>
        </w:rPr>
        <w:t>文件中指出：</w:t>
      </w:r>
      <w:r>
        <w:rPr>
          <w:lang w:eastAsia="zh-CN"/>
        </w:rPr>
        <w:t>到2022年，乡村振兴的制度框架和政策体系初步健全。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w:t>
      </w:r>
      <w:r>
        <w:rPr>
          <w:rFonts w:hint="eastAsia"/>
          <w:lang w:eastAsia="zh-CN"/>
        </w:rPr>
        <w:t>；</w:t>
      </w:r>
      <w:r>
        <w:rPr>
          <w:lang w:eastAsia="zh-CN"/>
        </w:rPr>
        <w:t>到2035年，乡村振兴取得决定性进展，农业农村现代化基本实现。乡风文明达到新高度，乡村治理体系更加完善；农村生态环境根本好转，生态宜居的美丽乡村基本实现。到2050年，乡村全面振兴，农业强、农村美、农民富全面实现。</w:t>
      </w:r>
    </w:p>
    <w:p>
      <w:pPr>
        <w:widowControl w:val="0"/>
        <w:ind w:firstLine="640"/>
        <w:rPr>
          <w:lang w:eastAsia="zh-CN"/>
        </w:rPr>
      </w:pPr>
      <w:r>
        <w:rPr>
          <w:lang w:eastAsia="zh-CN"/>
        </w:rPr>
        <w:t>2018年1月2日中共中央</w:t>
      </w:r>
      <w:r>
        <w:rPr>
          <w:rFonts w:hint="eastAsia"/>
          <w:lang w:eastAsia="zh-CN"/>
        </w:rPr>
        <w:t>、</w:t>
      </w:r>
      <w:r>
        <w:rPr>
          <w:lang w:eastAsia="zh-CN"/>
        </w:rPr>
        <w:t>国务院</w:t>
      </w:r>
      <w:r>
        <w:rPr>
          <w:rFonts w:hint="eastAsia"/>
          <w:lang w:eastAsia="zh-CN"/>
        </w:rPr>
        <w:t>印发《</w:t>
      </w:r>
      <w:r>
        <w:rPr>
          <w:lang w:eastAsia="zh-CN"/>
        </w:rPr>
        <w:t>关于实施乡村振兴战略的意见》</w:t>
      </w:r>
      <w:r>
        <w:rPr>
          <w:rFonts w:hint="eastAsia"/>
          <w:lang w:eastAsia="zh-CN"/>
        </w:rPr>
        <w:t>，文件确定了实施乡村振兴战略的目标任务：到</w:t>
      </w:r>
      <w:r>
        <w:rPr>
          <w:lang w:eastAsia="zh-CN"/>
        </w:rPr>
        <w:t>2035年乡村振兴取得决定性进展，农业农村现代化基本实现；乡风文明达到新高度，乡村治理体系更加完善；农村生态环境根本好转，美丽宜居乡村基本实现。到2050年乡村全面振兴，农业强，农村美、农民富全面实现。</w:t>
      </w:r>
    </w:p>
    <w:p>
      <w:pPr>
        <w:widowControl w:val="0"/>
        <w:ind w:firstLine="640"/>
        <w:rPr>
          <w:lang w:eastAsia="zh-CN"/>
        </w:rPr>
      </w:pPr>
      <w:r>
        <w:rPr>
          <w:lang w:eastAsia="zh-CN"/>
        </w:rPr>
        <w:t>《中共中央</w:t>
      </w:r>
      <w:r>
        <w:rPr>
          <w:rFonts w:hint="eastAsia"/>
          <w:lang w:eastAsia="zh-CN"/>
        </w:rPr>
        <w:t xml:space="preserve"> </w:t>
      </w:r>
      <w:r>
        <w:rPr>
          <w:lang w:eastAsia="zh-CN"/>
        </w:rPr>
        <w:t>国务院关于做好2022年全面推进乡村振兴重点工作的意见》中指出：聚焦产业促进乡村发展。鼓励各地拓展农业多种功能、挖掘乡村多元价值，重点发展农产品加工、乡村休闲旅游、农村电商等产业。实施乡村休闲旅游提升计划。支持农民直接经营或参与经营的乡村民宿、农家乐特色村（点）发展。</w:t>
      </w:r>
    </w:p>
    <w:p>
      <w:pPr>
        <w:widowControl w:val="0"/>
        <w:ind w:firstLine="640"/>
        <w:rPr>
          <w:rFonts w:cs="仿宋"/>
          <w:lang w:eastAsia="zh-CN"/>
        </w:rPr>
      </w:pPr>
      <w:r>
        <w:rPr>
          <w:lang w:eastAsia="zh-CN"/>
        </w:rPr>
        <w:t>《山西省人民政府关于2018年实施乡村振兴若干政策措施的通知》（晋政发〔2018〕32号）</w:t>
      </w:r>
      <w:r>
        <w:rPr>
          <w:rFonts w:hint="eastAsia"/>
          <w:lang w:eastAsia="zh-CN"/>
        </w:rPr>
        <w:t>中指出要支持改善农村人居环境示范县、示范村建设。</w:t>
      </w:r>
    </w:p>
    <w:p>
      <w:pPr>
        <w:widowControl w:val="0"/>
        <w:ind w:firstLine="640"/>
        <w:rPr>
          <w:rFonts w:cs="仿宋"/>
          <w:lang w:eastAsia="zh-CN"/>
        </w:rPr>
      </w:pPr>
      <w:r>
        <w:rPr>
          <w:rFonts w:hint="eastAsia" w:cs="仿宋"/>
          <w:lang w:eastAsia="zh-CN"/>
        </w:rPr>
        <w:t>《中共山西省委山西省人民政府关于巩固拓展脱贫攻坚成果有效衔接乡村振兴的实施方案》（晋财农</w:t>
      </w:r>
      <w:r>
        <w:rPr>
          <w:rFonts w:hint="eastAsia" w:cs="仿宋_GB2312"/>
          <w:szCs w:val="32"/>
          <w:lang w:eastAsia="zh-CN"/>
        </w:rPr>
        <w:t>〔2</w:t>
      </w:r>
      <w:r>
        <w:rPr>
          <w:rFonts w:cs="仿宋_GB2312"/>
          <w:szCs w:val="32"/>
          <w:lang w:eastAsia="zh-CN"/>
        </w:rPr>
        <w:t>021</w:t>
      </w:r>
      <w:r>
        <w:rPr>
          <w:rFonts w:hint="eastAsia" w:cs="仿宋_GB2312"/>
          <w:szCs w:val="32"/>
          <w:lang w:eastAsia="zh-CN"/>
        </w:rPr>
        <w:t>〕5</w:t>
      </w:r>
      <w:r>
        <w:rPr>
          <w:rFonts w:cs="仿宋_GB2312"/>
          <w:szCs w:val="32"/>
          <w:lang w:eastAsia="zh-CN"/>
        </w:rPr>
        <w:t>1</w:t>
      </w:r>
      <w:r>
        <w:rPr>
          <w:rFonts w:hint="eastAsia" w:cs="仿宋_GB2312"/>
          <w:szCs w:val="32"/>
          <w:lang w:eastAsia="zh-CN"/>
        </w:rPr>
        <w:t>号</w:t>
      </w:r>
      <w:r>
        <w:rPr>
          <w:rFonts w:hint="eastAsia" w:cs="仿宋"/>
          <w:lang w:eastAsia="zh-CN"/>
        </w:rPr>
        <w:t>）中，</w:t>
      </w:r>
      <w:r>
        <w:rPr>
          <w:lang w:eastAsia="zh-CN"/>
        </w:rPr>
        <w:t>加快发展乡村旅游业</w:t>
      </w:r>
      <w:r>
        <w:rPr>
          <w:rFonts w:hint="eastAsia"/>
          <w:lang w:eastAsia="zh-CN"/>
        </w:rPr>
        <w:t>，</w:t>
      </w:r>
      <w:r>
        <w:rPr>
          <w:lang w:eastAsia="zh-CN"/>
        </w:rPr>
        <w:t>依托红色文化、关隘文化、渡口文化、生态文化、历史村镇</w:t>
      </w:r>
      <w:r>
        <w:rPr>
          <w:rFonts w:hint="eastAsia"/>
          <w:lang w:eastAsia="zh-CN"/>
        </w:rPr>
        <w:t>，</w:t>
      </w:r>
      <w:r>
        <w:rPr>
          <w:lang w:eastAsia="zh-CN"/>
        </w:rPr>
        <w:t>创新“旅游＋”为主导的多产业融合</w:t>
      </w:r>
      <w:r>
        <w:rPr>
          <w:rFonts w:hint="eastAsia"/>
          <w:lang w:eastAsia="zh-CN"/>
        </w:rPr>
        <w:t>，</w:t>
      </w:r>
      <w:r>
        <w:rPr>
          <w:lang w:eastAsia="zh-CN"/>
        </w:rPr>
        <w:t>培育一批特色鲜明、带动帮扶能力强的乡村旅游项目</w:t>
      </w:r>
      <w:r>
        <w:rPr>
          <w:rFonts w:hint="eastAsia"/>
          <w:lang w:eastAsia="zh-CN"/>
        </w:rPr>
        <w:t>，</w:t>
      </w:r>
      <w:r>
        <w:rPr>
          <w:lang w:eastAsia="zh-CN"/>
        </w:rPr>
        <w:t>打造一批乡村旅游示范村</w:t>
      </w:r>
      <w:r>
        <w:rPr>
          <w:rFonts w:hint="eastAsia"/>
          <w:lang w:eastAsia="zh-CN"/>
        </w:rPr>
        <w:t>。</w:t>
      </w:r>
    </w:p>
    <w:p>
      <w:pPr>
        <w:widowControl w:val="0"/>
        <w:ind w:firstLine="640"/>
        <w:rPr>
          <w:lang w:eastAsia="zh-CN"/>
        </w:rPr>
      </w:pPr>
      <w:r>
        <w:rPr>
          <w:rFonts w:hint="eastAsia"/>
          <w:lang w:eastAsia="zh-CN"/>
        </w:rPr>
        <w:t>《</w:t>
      </w:r>
      <w:r>
        <w:rPr>
          <w:rFonts w:hint="eastAsia" w:cs="仿宋"/>
          <w:lang w:eastAsia="zh-CN"/>
        </w:rPr>
        <w:t>中共山西省委山西省人民政府关于做好2</w:t>
      </w:r>
      <w:r>
        <w:rPr>
          <w:rFonts w:cs="仿宋"/>
          <w:lang w:eastAsia="zh-CN"/>
        </w:rPr>
        <w:t>022</w:t>
      </w:r>
      <w:r>
        <w:rPr>
          <w:rFonts w:hint="eastAsia" w:cs="仿宋"/>
          <w:lang w:eastAsia="zh-CN"/>
        </w:rPr>
        <w:t>年全面推进乡村振兴重点工作的实施意见</w:t>
      </w:r>
      <w:r>
        <w:rPr>
          <w:rFonts w:hint="eastAsia"/>
          <w:lang w:eastAsia="zh-CN"/>
        </w:rPr>
        <w:t>》中指出：</w:t>
      </w:r>
      <w:r>
        <w:rPr>
          <w:lang w:eastAsia="zh-CN"/>
        </w:rPr>
        <w:t>培育５个中国美丽休闲乡村</w:t>
      </w:r>
      <w:r>
        <w:rPr>
          <w:rFonts w:hint="eastAsia"/>
          <w:lang w:eastAsia="zh-CN"/>
        </w:rPr>
        <w:t>、5</w:t>
      </w:r>
      <w:r>
        <w:rPr>
          <w:lang w:eastAsia="zh-CN"/>
        </w:rPr>
        <w:t>0个山西美丽休闲乡村</w:t>
      </w:r>
      <w:r>
        <w:rPr>
          <w:rFonts w:hint="eastAsia"/>
          <w:lang w:eastAsia="zh-CN"/>
        </w:rPr>
        <w:t>。</w:t>
      </w:r>
      <w:r>
        <w:rPr>
          <w:lang w:eastAsia="zh-CN"/>
        </w:rPr>
        <w:t>聚焦产业发展抓好示范创建</w:t>
      </w:r>
      <w:r>
        <w:rPr>
          <w:rFonts w:hint="eastAsia"/>
          <w:lang w:eastAsia="zh-CN"/>
        </w:rPr>
        <w:t>，</w:t>
      </w:r>
      <w:r>
        <w:rPr>
          <w:lang w:eastAsia="zh-CN"/>
        </w:rPr>
        <w:t>在革命老区县创建乡村振兴示范区</w:t>
      </w:r>
      <w:r>
        <w:rPr>
          <w:rFonts w:hint="eastAsia"/>
          <w:lang w:eastAsia="zh-CN"/>
        </w:rPr>
        <w:t>，</w:t>
      </w:r>
      <w:r>
        <w:rPr>
          <w:lang w:eastAsia="zh-CN"/>
        </w:rPr>
        <w:t>在全省打造一批乡村旅游示范村</w:t>
      </w:r>
      <w:r>
        <w:rPr>
          <w:rFonts w:hint="eastAsia"/>
          <w:lang w:eastAsia="zh-CN"/>
        </w:rPr>
        <w:t>。</w:t>
      </w:r>
    </w:p>
    <w:p>
      <w:pPr>
        <w:widowControl w:val="0"/>
        <w:ind w:firstLine="640"/>
        <w:rPr>
          <w:lang w:eastAsia="zh-CN"/>
        </w:rPr>
      </w:pPr>
      <w:r>
        <w:rPr>
          <w:lang w:eastAsia="zh-CN"/>
        </w:rPr>
        <w:t>《山西省人民政府办公厅关于支持康养产业发展的意见》（晋政办发〔2022〕37号）</w:t>
      </w:r>
      <w:r>
        <w:rPr>
          <w:rFonts w:hint="eastAsia"/>
          <w:lang w:eastAsia="zh-CN"/>
        </w:rPr>
        <w:t>，推动康养产业聚集区建设，</w:t>
      </w:r>
      <w:r>
        <w:rPr>
          <w:rFonts w:hint="eastAsia"/>
          <w:color w:val="auto"/>
          <w:lang w:eastAsia="zh-CN"/>
        </w:rPr>
        <w:t>聚焦发展避暑康养、温泉康养、森林康养、乡村康养、运动康养、中医药康养等康养业态。各地要依托资源优势，培育不同特色的康养产业发展支撑点。到2025年，全省建成康养小镇（示范区）20个、康养社区50个、康养村落200个。</w:t>
      </w:r>
    </w:p>
    <w:p>
      <w:pPr>
        <w:widowControl w:val="0"/>
        <w:ind w:firstLine="640"/>
        <w:rPr>
          <w:rFonts w:cs="仿宋"/>
          <w:lang w:eastAsia="zh-CN"/>
        </w:rPr>
      </w:pPr>
      <w:r>
        <w:rPr>
          <w:rFonts w:hint="eastAsia"/>
          <w:lang w:eastAsia="zh-CN"/>
        </w:rPr>
        <w:t>《安泽县人民政府关于印发&lt;安泽县2</w:t>
      </w:r>
      <w:r>
        <w:rPr>
          <w:lang w:eastAsia="zh-CN"/>
        </w:rPr>
        <w:t>022</w:t>
      </w:r>
      <w:r>
        <w:rPr>
          <w:rFonts w:hint="eastAsia"/>
          <w:lang w:eastAsia="zh-CN"/>
        </w:rPr>
        <w:t>年统筹</w:t>
      </w:r>
      <w:r>
        <w:rPr>
          <w:rFonts w:hint="eastAsia" w:cs="仿宋"/>
          <w:lang w:eastAsia="zh-CN"/>
        </w:rPr>
        <w:t>整合财政资金巩固拓展脱贫攻坚成果衔接推进乡村振兴的实施方案&gt;的通知》（安政农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）中，2</w:t>
      </w:r>
      <w:r>
        <w:rPr>
          <w:rFonts w:cs="仿宋"/>
          <w:lang w:eastAsia="zh-CN"/>
        </w:rPr>
        <w:t>022</w:t>
      </w:r>
      <w:r>
        <w:rPr>
          <w:rFonts w:hint="eastAsia" w:cs="仿宋"/>
          <w:lang w:eastAsia="zh-CN"/>
        </w:rPr>
        <w:t>年是实施“十四五”规划承上启下之年，也是全面推进乡村振兴的关键之年。</w:t>
      </w:r>
    </w:p>
    <w:bookmarkEnd w:id="38"/>
    <w:p>
      <w:pPr>
        <w:widowControl w:val="0"/>
        <w:ind w:firstLine="640"/>
        <w:rPr>
          <w:rFonts w:cs="仿宋"/>
          <w:lang w:eastAsia="zh-CN"/>
        </w:rPr>
      </w:pPr>
      <w:bookmarkStart w:id="42" w:name="_Hlk152492158"/>
      <w:r>
        <w:rPr>
          <w:rFonts w:hint="eastAsia" w:cs="仿宋"/>
          <w:lang w:eastAsia="zh-CN"/>
        </w:rPr>
        <w:t>2</w:t>
      </w:r>
      <w:r>
        <w:rPr>
          <w:rFonts w:cs="仿宋"/>
          <w:lang w:eastAsia="zh-CN"/>
        </w:rPr>
        <w:t>022</w:t>
      </w:r>
      <w:r>
        <w:rPr>
          <w:rFonts w:hint="eastAsia" w:cs="仿宋"/>
          <w:lang w:eastAsia="zh-CN"/>
        </w:rPr>
        <w:t>年为了贯彻落实中央、省、市、县关于巩固拓展脱贫攻坚成果同乡村振兴有效衔接有关精神，</w:t>
      </w:r>
      <w:r>
        <w:rPr>
          <w:rFonts w:hint="eastAsia"/>
          <w:lang w:eastAsia="zh-CN"/>
        </w:rPr>
        <w:t>安泽县人民政府关于印发《安泽县2</w:t>
      </w:r>
      <w:r>
        <w:rPr>
          <w:lang w:eastAsia="zh-CN"/>
        </w:rPr>
        <w:t>022</w:t>
      </w:r>
      <w:r>
        <w:rPr>
          <w:rFonts w:hint="eastAsia"/>
          <w:lang w:eastAsia="zh-CN"/>
        </w:rPr>
        <w:t>年统筹</w:t>
      </w:r>
      <w:r>
        <w:rPr>
          <w:rFonts w:hint="eastAsia" w:cs="仿宋"/>
          <w:lang w:eastAsia="zh-CN"/>
        </w:rPr>
        <w:t>整合财政资金巩固拓展脱贫攻坚成果衔接推进乡村振兴的实施方案的通知》（安政农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），其中石渠村乡村振兴示范村建设项目预算资金为</w:t>
      </w:r>
      <w:r>
        <w:rPr>
          <w:rFonts w:cs="仿宋"/>
          <w:lang w:eastAsia="zh-CN"/>
        </w:rPr>
        <w:t>1250</w:t>
      </w:r>
      <w:r>
        <w:rPr>
          <w:rFonts w:hint="eastAsia" w:cs="仿宋"/>
          <w:lang w:eastAsia="zh-CN"/>
        </w:rPr>
        <w:t>万元，包括：省级资金5</w:t>
      </w:r>
      <w:r>
        <w:rPr>
          <w:rFonts w:cs="仿宋"/>
          <w:lang w:eastAsia="zh-CN"/>
        </w:rPr>
        <w:t>00</w:t>
      </w:r>
      <w:r>
        <w:rPr>
          <w:rFonts w:hint="eastAsia" w:cs="仿宋"/>
          <w:lang w:eastAsia="zh-CN"/>
        </w:rPr>
        <w:t>万元，县级资金7</w:t>
      </w:r>
      <w:r>
        <w:rPr>
          <w:rFonts w:cs="仿宋"/>
          <w:lang w:eastAsia="zh-CN"/>
        </w:rPr>
        <w:t>50</w:t>
      </w:r>
      <w:r>
        <w:rPr>
          <w:rFonts w:hint="eastAsia" w:cs="仿宋"/>
          <w:lang w:eastAsia="zh-CN"/>
        </w:rPr>
        <w:t>万元。计划对安泽县和川镇石渠村进行示范村改造，截止目前，安泽县和川镇石渠村乡村振兴示范村建设项目已全部完工，正进行财务决算。</w:t>
      </w:r>
      <w:bookmarkEnd w:id="42"/>
    </w:p>
    <w:p>
      <w:pPr>
        <w:pStyle w:val="6"/>
        <w:keepNext w:val="0"/>
        <w:keepLines w:val="0"/>
        <w:widowControl w:val="0"/>
        <w:ind w:firstLine="643"/>
        <w:rPr>
          <w:lang w:eastAsia="zh-CN"/>
        </w:rPr>
      </w:pPr>
      <w:r>
        <w:rPr>
          <w:rFonts w:hint="eastAsia"/>
          <w:lang w:eastAsia="zh-CN"/>
        </w:rPr>
        <w:t>2.项目立项依据。</w:t>
      </w:r>
      <w:bookmarkEnd w:id="39"/>
      <w:bookmarkEnd w:id="40"/>
      <w:bookmarkEnd w:id="41"/>
    </w:p>
    <w:p>
      <w:pPr>
        <w:widowControl w:val="0"/>
        <w:ind w:firstLine="640"/>
        <w:rPr>
          <w:lang w:eastAsia="zh-CN"/>
        </w:rPr>
      </w:pPr>
      <w:bookmarkStart w:id="43" w:name="_Toc91979615"/>
      <w:bookmarkStart w:id="44" w:name="_Toc96054830"/>
      <w:bookmarkStart w:id="45" w:name="_Toc97086038"/>
      <w:r>
        <w:rPr>
          <w:rFonts w:hint="eastAsia"/>
          <w:lang w:eastAsia="zh-CN"/>
        </w:rPr>
        <w:t>（1）中国共产党第十九次全国代表大会；</w:t>
      </w:r>
    </w:p>
    <w:p>
      <w:pPr>
        <w:widowControl w:val="0"/>
        <w:ind w:firstLine="640"/>
        <w:rPr>
          <w:lang w:eastAsia="zh-CN"/>
        </w:rPr>
      </w:pPr>
      <w:r>
        <w:rPr>
          <w:rFonts w:hint="eastAsia"/>
          <w:lang w:eastAsia="zh-CN"/>
        </w:rPr>
        <w:t>（2）《</w:t>
      </w:r>
      <w:r>
        <w:rPr>
          <w:lang w:eastAsia="zh-CN"/>
        </w:rPr>
        <w:t>乡村振兴战略规划（2018</w:t>
      </w:r>
      <w:r>
        <w:rPr>
          <w:rFonts w:hint="eastAsia"/>
          <w:lang w:eastAsia="zh-CN"/>
        </w:rPr>
        <w:t>-</w:t>
      </w:r>
      <w:r>
        <w:rPr>
          <w:lang w:eastAsia="zh-CN"/>
        </w:rPr>
        <w:t>2022年）》</w:t>
      </w:r>
      <w:r>
        <w:rPr>
          <w:rFonts w:hint="eastAsia"/>
          <w:lang w:eastAsia="zh-CN"/>
        </w:rPr>
        <w:t>；</w:t>
      </w:r>
    </w:p>
    <w:p>
      <w:pPr>
        <w:widowControl w:val="0"/>
        <w:ind w:firstLine="640"/>
        <w:rPr>
          <w:lang w:eastAsia="zh-CN"/>
        </w:rPr>
      </w:pPr>
      <w:r>
        <w:rPr>
          <w:rFonts w:hint="eastAsia"/>
          <w:lang w:eastAsia="zh-CN"/>
        </w:rPr>
        <w:t>（3）《</w:t>
      </w:r>
      <w:r>
        <w:rPr>
          <w:lang w:eastAsia="zh-CN"/>
        </w:rPr>
        <w:t>关于实施乡村振兴战略的意见》</w:t>
      </w:r>
      <w:r>
        <w:rPr>
          <w:rFonts w:hint="eastAsia"/>
          <w:lang w:eastAsia="zh-CN"/>
        </w:rPr>
        <w:t>；</w:t>
      </w:r>
    </w:p>
    <w:p>
      <w:pPr>
        <w:widowControl w:val="0"/>
        <w:ind w:firstLine="640"/>
        <w:rPr>
          <w:lang w:eastAsia="zh-CN"/>
        </w:rPr>
      </w:pPr>
      <w:r>
        <w:rPr>
          <w:rFonts w:hint="eastAsia"/>
          <w:lang w:eastAsia="zh-CN"/>
        </w:rPr>
        <w:t>（</w:t>
      </w:r>
      <w:r>
        <w:rPr>
          <w:lang w:eastAsia="zh-CN"/>
        </w:rPr>
        <w:t>4</w:t>
      </w:r>
      <w:r>
        <w:rPr>
          <w:rFonts w:hint="eastAsia"/>
          <w:lang w:eastAsia="zh-CN"/>
        </w:rPr>
        <w:t>）</w:t>
      </w:r>
      <w:r>
        <w:rPr>
          <w:lang w:eastAsia="zh-CN"/>
        </w:rPr>
        <w:t>《中共中央</w:t>
      </w:r>
      <w:r>
        <w:rPr>
          <w:rFonts w:hint="eastAsia"/>
          <w:lang w:eastAsia="zh-CN"/>
        </w:rPr>
        <w:t xml:space="preserve"> </w:t>
      </w:r>
      <w:r>
        <w:rPr>
          <w:lang w:eastAsia="zh-CN"/>
        </w:rPr>
        <w:t>国务院关于做好2022年全面推进乡村振兴重点工作的意见》</w:t>
      </w:r>
      <w:r>
        <w:rPr>
          <w:rFonts w:hint="eastAsia"/>
          <w:lang w:eastAsia="zh-CN"/>
        </w:rPr>
        <w:t>；</w:t>
      </w:r>
    </w:p>
    <w:p>
      <w:pPr>
        <w:widowControl w:val="0"/>
        <w:ind w:firstLine="640"/>
        <w:rPr>
          <w:lang w:eastAsia="zh-CN"/>
        </w:rPr>
      </w:pPr>
      <w:r>
        <w:rPr>
          <w:rFonts w:hint="eastAsia"/>
          <w:lang w:eastAsia="zh-CN"/>
        </w:rPr>
        <w:t>（5）</w:t>
      </w:r>
      <w:r>
        <w:rPr>
          <w:lang w:eastAsia="zh-CN"/>
        </w:rPr>
        <w:t>《山西省人民政府关于2018年实施乡村振兴若干政策措施的通知》（晋政发〔2018〕32号）</w:t>
      </w:r>
      <w:r>
        <w:rPr>
          <w:rFonts w:hint="eastAsia"/>
          <w:lang w:eastAsia="zh-CN"/>
        </w:rPr>
        <w:t>；</w:t>
      </w:r>
    </w:p>
    <w:p>
      <w:pPr>
        <w:widowControl w:val="0"/>
        <w:ind w:firstLine="640"/>
        <w:rPr>
          <w:lang w:eastAsia="zh-CN"/>
        </w:rPr>
      </w:pPr>
      <w:r>
        <w:rPr>
          <w:rFonts w:hint="eastAsia"/>
          <w:lang w:eastAsia="zh-CN"/>
        </w:rPr>
        <w:t>（</w:t>
      </w:r>
      <w:r>
        <w:rPr>
          <w:lang w:eastAsia="zh-CN"/>
        </w:rPr>
        <w:t>6</w:t>
      </w:r>
      <w:r>
        <w:rPr>
          <w:rFonts w:hint="eastAsia"/>
          <w:lang w:eastAsia="zh-CN"/>
        </w:rPr>
        <w:t>）《</w:t>
      </w:r>
      <w:r>
        <w:rPr>
          <w:rFonts w:hint="eastAsia" w:cs="仿宋"/>
          <w:lang w:eastAsia="zh-CN"/>
        </w:rPr>
        <w:t>中共山西省委山西省人民政府关于巩固拓展脱贫攻坚成果有效衔接乡村振兴的实施方案》（晋财农</w:t>
      </w:r>
      <w:r>
        <w:rPr>
          <w:rFonts w:hint="eastAsia" w:cs="仿宋_GB2312"/>
          <w:szCs w:val="32"/>
          <w:lang w:eastAsia="zh-CN"/>
        </w:rPr>
        <w:t>〔2</w:t>
      </w:r>
      <w:r>
        <w:rPr>
          <w:rFonts w:cs="仿宋_GB2312"/>
          <w:szCs w:val="32"/>
          <w:lang w:eastAsia="zh-CN"/>
        </w:rPr>
        <w:t>021</w:t>
      </w:r>
      <w:r>
        <w:rPr>
          <w:rFonts w:hint="eastAsia" w:cs="仿宋_GB2312"/>
          <w:szCs w:val="32"/>
          <w:lang w:eastAsia="zh-CN"/>
        </w:rPr>
        <w:t>〕5</w:t>
      </w:r>
      <w:r>
        <w:rPr>
          <w:rFonts w:cs="仿宋_GB2312"/>
          <w:szCs w:val="32"/>
          <w:lang w:eastAsia="zh-CN"/>
        </w:rPr>
        <w:t>1</w:t>
      </w:r>
      <w:r>
        <w:rPr>
          <w:rFonts w:hint="eastAsia" w:cs="仿宋_GB2312"/>
          <w:szCs w:val="32"/>
          <w:lang w:eastAsia="zh-CN"/>
        </w:rPr>
        <w:t>号</w:t>
      </w:r>
      <w:r>
        <w:rPr>
          <w:rFonts w:hint="eastAsia" w:cs="仿宋"/>
          <w:lang w:eastAsia="zh-CN"/>
        </w:rPr>
        <w:t>）</w:t>
      </w:r>
      <w:r>
        <w:rPr>
          <w:rFonts w:hint="eastAsia"/>
          <w:lang w:eastAsia="zh-CN"/>
        </w:rPr>
        <w:t>；</w:t>
      </w:r>
    </w:p>
    <w:p>
      <w:pPr>
        <w:widowControl w:val="0"/>
        <w:ind w:firstLine="640"/>
        <w:rPr>
          <w:lang w:eastAsia="zh-CN"/>
        </w:rPr>
      </w:pPr>
      <w:r>
        <w:rPr>
          <w:rFonts w:hint="eastAsia"/>
          <w:lang w:eastAsia="zh-CN"/>
        </w:rPr>
        <w:t>（7）《</w:t>
      </w:r>
      <w:r>
        <w:rPr>
          <w:rFonts w:hint="eastAsia" w:cs="仿宋"/>
          <w:lang w:eastAsia="zh-CN"/>
        </w:rPr>
        <w:t>中共山西省委山西省人民政府关于做好2</w:t>
      </w:r>
      <w:r>
        <w:rPr>
          <w:rFonts w:cs="仿宋"/>
          <w:lang w:eastAsia="zh-CN"/>
        </w:rPr>
        <w:t>022</w:t>
      </w:r>
      <w:r>
        <w:rPr>
          <w:rFonts w:hint="eastAsia" w:cs="仿宋"/>
          <w:lang w:eastAsia="zh-CN"/>
        </w:rPr>
        <w:t>年全面推进乡村振兴重点工作的实施意见</w:t>
      </w:r>
      <w:r>
        <w:rPr>
          <w:rFonts w:hint="eastAsia"/>
          <w:lang w:eastAsia="zh-CN"/>
        </w:rPr>
        <w:t>》；</w:t>
      </w:r>
    </w:p>
    <w:p>
      <w:pPr>
        <w:widowControl w:val="0"/>
        <w:ind w:firstLine="640"/>
        <w:rPr>
          <w:lang w:eastAsia="zh-CN"/>
        </w:rPr>
      </w:pPr>
      <w:r>
        <w:rPr>
          <w:rFonts w:hint="eastAsia"/>
          <w:lang w:eastAsia="zh-CN"/>
        </w:rPr>
        <w:t>（8）</w:t>
      </w:r>
      <w:r>
        <w:rPr>
          <w:lang w:eastAsia="zh-CN"/>
        </w:rPr>
        <w:t>《山西省人民政府办公厅关于支持康养产业发展的意见》（晋政办发〔2022〕37号）</w:t>
      </w:r>
      <w:r>
        <w:rPr>
          <w:rFonts w:hint="eastAsia"/>
          <w:lang w:eastAsia="zh-CN"/>
        </w:rPr>
        <w:t>；</w:t>
      </w:r>
    </w:p>
    <w:p>
      <w:pPr>
        <w:widowControl w:val="0"/>
        <w:ind w:firstLine="640"/>
        <w:rPr>
          <w:lang w:eastAsia="zh-CN"/>
        </w:rPr>
      </w:pPr>
      <w:r>
        <w:rPr>
          <w:rFonts w:hint="eastAsia"/>
          <w:lang w:eastAsia="zh-CN"/>
        </w:rPr>
        <w:t>（</w:t>
      </w:r>
      <w:r>
        <w:rPr>
          <w:lang w:eastAsia="zh-CN"/>
        </w:rPr>
        <w:t>9</w:t>
      </w:r>
      <w:r>
        <w:rPr>
          <w:rFonts w:hint="eastAsia"/>
          <w:lang w:eastAsia="zh-CN"/>
        </w:rPr>
        <w:t>）</w:t>
      </w:r>
      <w:r>
        <w:rPr>
          <w:rFonts w:hint="eastAsia" w:cs="仿宋"/>
          <w:lang w:eastAsia="zh-CN"/>
        </w:rPr>
        <w:t>《安泽县人民政府关于印发&lt;安泽县2</w:t>
      </w:r>
      <w:r>
        <w:rPr>
          <w:rFonts w:cs="仿宋"/>
          <w:lang w:eastAsia="zh-CN"/>
        </w:rPr>
        <w:t>022</w:t>
      </w:r>
      <w:r>
        <w:rPr>
          <w:rFonts w:hint="eastAsia" w:cs="仿宋"/>
          <w:lang w:eastAsia="zh-CN"/>
        </w:rPr>
        <w:t>年统筹整合财政资金巩固拓展脱贫攻坚成果衔接推进乡村振兴的实施方案&gt;的通知》（安政农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w:t>
      </w:r>
      <w:r>
        <w:rPr>
          <w:rFonts w:hint="eastAsia"/>
          <w:lang w:eastAsia="zh-CN"/>
        </w:rPr>
        <w:t>；</w:t>
      </w:r>
    </w:p>
    <w:p>
      <w:pPr>
        <w:widowControl w:val="0"/>
        <w:ind w:firstLine="640"/>
        <w:rPr>
          <w:rFonts w:ascii="仿宋_GB2312" w:hAnsi="仿宋_GB2312" w:eastAsia="仿宋_GB2312" w:cs="仿宋_GB2312"/>
          <w:lang w:eastAsia="zh-CN"/>
        </w:rPr>
      </w:pPr>
      <w:r>
        <w:rPr>
          <w:rFonts w:hint="eastAsia"/>
          <w:lang w:eastAsia="zh-CN"/>
        </w:rPr>
        <w:t>（</w:t>
      </w:r>
      <w:r>
        <w:rPr>
          <w:lang w:eastAsia="zh-CN"/>
        </w:rPr>
        <w:t>10</w:t>
      </w:r>
      <w:r>
        <w:rPr>
          <w:rFonts w:hint="eastAsia"/>
          <w:lang w:eastAsia="zh-CN"/>
        </w:rPr>
        <w:t>）其他有关的法律、法规规章、政策文件</w:t>
      </w:r>
      <w:r>
        <w:rPr>
          <w:lang w:eastAsia="zh-CN"/>
        </w:rPr>
        <w:t>。</w:t>
      </w:r>
      <w:bookmarkEnd w:id="43"/>
      <w:bookmarkEnd w:id="44"/>
      <w:bookmarkEnd w:id="45"/>
      <w:bookmarkStart w:id="46" w:name="_Toc97086039"/>
      <w:bookmarkStart w:id="47" w:name="_Toc96054831"/>
      <w:bookmarkStart w:id="48" w:name="_Toc91979616"/>
    </w:p>
    <w:p>
      <w:pPr>
        <w:pStyle w:val="5"/>
        <w:keepNext w:val="0"/>
        <w:keepLines w:val="0"/>
        <w:widowControl w:val="0"/>
        <w:ind w:firstLine="643"/>
        <w:rPr>
          <w:lang w:eastAsia="zh-CN"/>
        </w:rPr>
      </w:pPr>
      <w:r>
        <w:rPr>
          <w:rFonts w:hint="eastAsia"/>
          <w:lang w:eastAsia="zh-CN"/>
        </w:rPr>
        <w:t>（二）项目资金投入和使用情况</w:t>
      </w:r>
      <w:bookmarkEnd w:id="46"/>
      <w:bookmarkEnd w:id="47"/>
      <w:bookmarkEnd w:id="48"/>
    </w:p>
    <w:p>
      <w:pPr>
        <w:pStyle w:val="6"/>
        <w:keepNext w:val="0"/>
        <w:keepLines w:val="0"/>
        <w:widowControl w:val="0"/>
        <w:ind w:firstLine="643"/>
        <w:rPr>
          <w:lang w:eastAsia="zh-CN"/>
        </w:rPr>
      </w:pPr>
      <w:r>
        <w:rPr>
          <w:rFonts w:hint="eastAsia"/>
          <w:lang w:eastAsia="zh-CN"/>
        </w:rPr>
        <w:t>1</w:t>
      </w:r>
      <w:r>
        <w:rPr>
          <w:lang w:eastAsia="zh-CN"/>
        </w:rPr>
        <w:t>.</w:t>
      </w:r>
      <w:r>
        <w:rPr>
          <w:rFonts w:hint="eastAsia"/>
          <w:lang w:eastAsia="zh-CN"/>
        </w:rPr>
        <w:t>资金投入情况。</w:t>
      </w:r>
    </w:p>
    <w:p>
      <w:pPr>
        <w:widowControl w:val="0"/>
        <w:ind w:firstLine="640"/>
        <w:rPr>
          <w:lang w:eastAsia="zh-CN"/>
        </w:rPr>
      </w:pPr>
      <w:bookmarkStart w:id="49" w:name="_Hlk146181015"/>
      <w:r>
        <w:rPr>
          <w:lang w:eastAsia="zh-CN"/>
        </w:rPr>
        <w:t>根据</w:t>
      </w:r>
      <w:r>
        <w:rPr>
          <w:rFonts w:hint="eastAsia"/>
          <w:lang w:eastAsia="zh-CN"/>
        </w:rPr>
        <w:t>《安泽县财政局 安泽县乡村振兴局关于下达2</w:t>
      </w:r>
      <w:r>
        <w:rPr>
          <w:lang w:eastAsia="zh-CN"/>
        </w:rPr>
        <w:t>022</w:t>
      </w:r>
      <w:r>
        <w:rPr>
          <w:rFonts w:hint="eastAsia"/>
          <w:lang w:eastAsia="zh-CN"/>
        </w:rPr>
        <w:t>年第二批统筹整合资金的通知》（安财农〔20</w:t>
      </w:r>
      <w:r>
        <w:rPr>
          <w:lang w:eastAsia="zh-CN"/>
        </w:rPr>
        <w:t>22</w:t>
      </w:r>
      <w:r>
        <w:rPr>
          <w:rFonts w:hint="eastAsia"/>
          <w:lang w:eastAsia="zh-CN"/>
        </w:rPr>
        <w:t>〕1</w:t>
      </w:r>
      <w:r>
        <w:rPr>
          <w:lang w:eastAsia="zh-CN"/>
        </w:rPr>
        <w:t>13</w:t>
      </w:r>
      <w:r>
        <w:rPr>
          <w:rFonts w:hint="eastAsia"/>
          <w:lang w:eastAsia="zh-CN"/>
        </w:rPr>
        <w:t>号）、《安泽县财政局 安泽县乡村振兴局关于下达2</w:t>
      </w:r>
      <w:r>
        <w:rPr>
          <w:lang w:eastAsia="zh-CN"/>
        </w:rPr>
        <w:t>022</w:t>
      </w:r>
      <w:r>
        <w:rPr>
          <w:rFonts w:hint="eastAsia"/>
          <w:lang w:eastAsia="zh-CN"/>
        </w:rPr>
        <w:t>年第二批统筹整合资金的通知》（安财农〔20</w:t>
      </w:r>
      <w:r>
        <w:rPr>
          <w:lang w:eastAsia="zh-CN"/>
        </w:rPr>
        <w:t>22</w:t>
      </w:r>
      <w:r>
        <w:rPr>
          <w:rFonts w:hint="eastAsia"/>
          <w:lang w:eastAsia="zh-CN"/>
        </w:rPr>
        <w:t>〕1</w:t>
      </w:r>
      <w:r>
        <w:rPr>
          <w:lang w:eastAsia="zh-CN"/>
        </w:rPr>
        <w:t>18</w:t>
      </w:r>
      <w:r>
        <w:rPr>
          <w:rFonts w:hint="eastAsia"/>
          <w:lang w:eastAsia="zh-CN"/>
        </w:rPr>
        <w:t>号）</w:t>
      </w:r>
      <w:r>
        <w:rPr>
          <w:rFonts w:hint="eastAsia" w:cs="仿宋"/>
          <w:lang w:eastAsia="zh-CN"/>
        </w:rPr>
        <w:t>，</w:t>
      </w:r>
      <w:r>
        <w:rPr>
          <w:lang w:eastAsia="zh-CN"/>
        </w:rPr>
        <w:t>石渠村乡村振兴示范村建设项目</w:t>
      </w:r>
      <w:r>
        <w:rPr>
          <w:rFonts w:hint="eastAsia"/>
          <w:lang w:eastAsia="zh-CN"/>
        </w:rPr>
        <w:t>预算</w:t>
      </w:r>
      <w:r>
        <w:rPr>
          <w:lang w:eastAsia="zh-CN"/>
        </w:rPr>
        <w:t>资金共计1250万元，其中：省级资金500万元，县级资金750万元</w:t>
      </w:r>
      <w:r>
        <w:rPr>
          <w:rFonts w:hint="eastAsia"/>
          <w:lang w:eastAsia="zh-CN"/>
        </w:rPr>
        <w:t>，资金来源为省级财政资金和县级财政资金。安泽县财政局收到统筹整合资金后，分两次下达到安泽县和川镇人民政府。具体各乡镇资金分配情况见表1-</w:t>
      </w:r>
      <w:r>
        <w:rPr>
          <w:lang w:eastAsia="zh-CN"/>
        </w:rPr>
        <w:t>1</w:t>
      </w:r>
      <w:r>
        <w:rPr>
          <w:rFonts w:hint="eastAsia"/>
          <w:lang w:eastAsia="zh-CN"/>
        </w:rPr>
        <w:t>。</w:t>
      </w:r>
    </w:p>
    <w:p>
      <w:pPr>
        <w:widowControl w:val="0"/>
        <w:spacing w:line="240" w:lineRule="auto"/>
        <w:ind w:firstLine="480"/>
        <w:jc w:val="center"/>
        <w:rPr>
          <w:rFonts w:ascii="黑体" w:hAnsi="黑体" w:eastAsia="黑体" w:cs="黑体"/>
          <w:color w:val="auto"/>
          <w:sz w:val="24"/>
          <w:szCs w:val="24"/>
          <w:lang w:eastAsia="zh-CN"/>
        </w:rPr>
      </w:pPr>
      <w:r>
        <w:rPr>
          <w:rFonts w:hint="eastAsia" w:ascii="黑体" w:hAnsi="黑体" w:eastAsia="黑体" w:cs="黑体"/>
          <w:color w:val="auto"/>
          <w:sz w:val="24"/>
          <w:szCs w:val="24"/>
          <w:lang w:eastAsia="zh-CN"/>
        </w:rPr>
        <w:t>表1-</w:t>
      </w:r>
      <w:r>
        <w:rPr>
          <w:rFonts w:ascii="黑体" w:hAnsi="黑体" w:eastAsia="黑体" w:cs="黑体"/>
          <w:color w:val="auto"/>
          <w:sz w:val="24"/>
          <w:szCs w:val="24"/>
          <w:lang w:eastAsia="zh-CN"/>
        </w:rPr>
        <w:t>1</w:t>
      </w:r>
      <w:r>
        <w:rPr>
          <w:rFonts w:hint="eastAsia" w:ascii="黑体" w:hAnsi="黑体" w:eastAsia="黑体" w:cs="黑体"/>
          <w:color w:val="auto"/>
          <w:sz w:val="24"/>
          <w:szCs w:val="24"/>
          <w:lang w:eastAsia="zh-CN"/>
        </w:rPr>
        <w:t xml:space="preserve"> 项目资金来源明细表（单位：万元）</w:t>
      </w:r>
    </w:p>
    <w:tbl>
      <w:tblPr>
        <w:tblStyle w:val="23"/>
        <w:tblW w:w="26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1842"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来源</w:t>
            </w:r>
          </w:p>
        </w:tc>
        <w:tc>
          <w:tcPr>
            <w:tcW w:w="3158" w:type="pct"/>
            <w:shd w:val="clear" w:color="auto" w:fill="auto"/>
            <w:noWrap/>
            <w:vAlign w:val="center"/>
          </w:tcPr>
          <w:p>
            <w:pPr>
              <w:widowControl w:val="0"/>
              <w:spacing w:line="240" w:lineRule="auto"/>
              <w:ind w:firstLine="420"/>
              <w:jc w:val="center"/>
              <w:rPr>
                <w:rFonts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预算资金（万元）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2"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省级</w:t>
            </w:r>
          </w:p>
        </w:tc>
        <w:tc>
          <w:tcPr>
            <w:tcW w:w="3158"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cs="宋体" w:asciiTheme="minorEastAsia" w:hAnsiTheme="minorEastAsia" w:eastAsiaTheme="minorEastAsia"/>
                <w:color w:val="000000"/>
                <w:sz w:val="21"/>
                <w:szCs w:val="21"/>
                <w:lang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2"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县级</w:t>
            </w:r>
          </w:p>
        </w:tc>
        <w:tc>
          <w:tcPr>
            <w:tcW w:w="3158"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cs="宋体" w:asciiTheme="minorEastAsia" w:hAnsiTheme="minorEastAsia" w:eastAsiaTheme="minorEastAsia"/>
                <w:color w:val="000000"/>
                <w:sz w:val="21"/>
                <w:szCs w:val="21"/>
                <w:lang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2"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hint="eastAsia" w:cs="宋体" w:asciiTheme="minorEastAsia" w:hAnsiTheme="minorEastAsia" w:eastAsiaTheme="minorEastAsia"/>
                <w:color w:val="000000"/>
                <w:sz w:val="21"/>
                <w:szCs w:val="21"/>
                <w:lang w:eastAsia="zh-CN"/>
              </w:rPr>
              <w:t>合计</w:t>
            </w:r>
          </w:p>
        </w:tc>
        <w:tc>
          <w:tcPr>
            <w:tcW w:w="3158" w:type="pc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cs="宋体" w:asciiTheme="minorEastAsia" w:hAnsiTheme="minorEastAsia" w:eastAsiaTheme="minorEastAsia"/>
                <w:color w:val="000000"/>
                <w:sz w:val="21"/>
                <w:szCs w:val="21"/>
                <w:lang w:eastAsia="zh-CN"/>
              </w:rPr>
              <w:t>1250</w:t>
            </w:r>
          </w:p>
        </w:tc>
      </w:tr>
      <w:bookmarkEnd w:id="49"/>
    </w:tbl>
    <w:p>
      <w:pPr>
        <w:pStyle w:val="6"/>
        <w:keepNext w:val="0"/>
        <w:keepLines w:val="0"/>
        <w:widowControl w:val="0"/>
        <w:ind w:firstLine="643"/>
        <w:rPr>
          <w:lang w:eastAsia="zh-CN"/>
        </w:rPr>
      </w:pPr>
      <w:r>
        <w:rPr>
          <w:rFonts w:hint="eastAsia"/>
          <w:lang w:eastAsia="zh-CN"/>
        </w:rPr>
        <w:t>2</w:t>
      </w:r>
      <w:r>
        <w:rPr>
          <w:lang w:eastAsia="zh-CN"/>
        </w:rPr>
        <w:t>.</w:t>
      </w:r>
      <w:r>
        <w:rPr>
          <w:rFonts w:hint="eastAsia"/>
          <w:lang w:eastAsia="zh-CN"/>
        </w:rPr>
        <w:t>资金使用情况。</w:t>
      </w:r>
    </w:p>
    <w:p>
      <w:pPr>
        <w:widowControl w:val="0"/>
        <w:ind w:firstLine="640"/>
        <w:rPr>
          <w:lang w:eastAsia="zh-CN"/>
        </w:rPr>
      </w:pPr>
      <w:bookmarkStart w:id="50" w:name="_Hlk152491671"/>
      <w:r>
        <w:rPr>
          <w:rFonts w:hint="eastAsia"/>
          <w:lang w:eastAsia="zh-CN"/>
        </w:rPr>
        <w:t>截止2</w:t>
      </w:r>
      <w:r>
        <w:rPr>
          <w:lang w:eastAsia="zh-CN"/>
        </w:rPr>
        <w:t>022</w:t>
      </w:r>
      <w:r>
        <w:rPr>
          <w:rFonts w:hint="eastAsia"/>
          <w:lang w:eastAsia="zh-CN"/>
        </w:rPr>
        <w:t>年底，已支付1</w:t>
      </w:r>
      <w:r>
        <w:rPr>
          <w:lang w:eastAsia="zh-CN"/>
        </w:rPr>
        <w:t>051.25</w:t>
      </w:r>
      <w:r>
        <w:rPr>
          <w:rFonts w:hint="eastAsia"/>
          <w:lang w:eastAsia="zh-CN"/>
        </w:rPr>
        <w:t>万元。</w:t>
      </w:r>
      <w:r>
        <w:rPr>
          <w:lang w:eastAsia="zh-CN"/>
        </w:rPr>
        <w:t>截止</w:t>
      </w:r>
      <w:r>
        <w:rPr>
          <w:rFonts w:hint="eastAsia"/>
          <w:lang w:eastAsia="zh-CN"/>
        </w:rPr>
        <w:t>202</w:t>
      </w:r>
      <w:r>
        <w:rPr>
          <w:lang w:eastAsia="zh-CN"/>
        </w:rPr>
        <w:t>3</w:t>
      </w:r>
      <w:r>
        <w:rPr>
          <w:rFonts w:hint="eastAsia"/>
          <w:lang w:eastAsia="zh-CN"/>
        </w:rPr>
        <w:t>年</w:t>
      </w:r>
      <w:r>
        <w:rPr>
          <w:lang w:eastAsia="zh-CN"/>
        </w:rPr>
        <w:t>11</w:t>
      </w:r>
      <w:r>
        <w:rPr>
          <w:rFonts w:hint="eastAsia"/>
          <w:lang w:eastAsia="zh-CN"/>
        </w:rPr>
        <w:t>月，石渠村乡村振兴示范村建设项目已支付</w:t>
      </w:r>
      <w:r>
        <w:rPr>
          <w:lang w:eastAsia="zh-CN"/>
        </w:rPr>
        <w:t>1211.25</w:t>
      </w:r>
      <w:r>
        <w:rPr>
          <w:rFonts w:hint="eastAsia"/>
          <w:lang w:eastAsia="zh-CN"/>
        </w:rPr>
        <w:t>万元，结余3</w:t>
      </w:r>
      <w:r>
        <w:rPr>
          <w:lang w:eastAsia="zh-CN"/>
        </w:rPr>
        <w:t>8.75</w:t>
      </w:r>
      <w:r>
        <w:rPr>
          <w:rFonts w:hint="eastAsia"/>
          <w:lang w:eastAsia="zh-CN"/>
        </w:rPr>
        <w:t>万元（项目还在财务决算，不是最终结余金额）</w:t>
      </w:r>
      <w:bookmarkEnd w:id="50"/>
      <w:r>
        <w:rPr>
          <w:rFonts w:hint="eastAsia"/>
          <w:lang w:eastAsia="zh-CN"/>
        </w:rPr>
        <w:t>。款项支付明细见表1-</w:t>
      </w:r>
      <w:r>
        <w:rPr>
          <w:lang w:eastAsia="zh-CN"/>
        </w:rPr>
        <w:t>2</w:t>
      </w:r>
      <w:r>
        <w:rPr>
          <w:rFonts w:hint="eastAsia"/>
          <w:lang w:eastAsia="zh-CN"/>
        </w:rPr>
        <w:t>。</w:t>
      </w:r>
    </w:p>
    <w:p>
      <w:pPr>
        <w:widowControl w:val="0"/>
        <w:spacing w:line="240" w:lineRule="auto"/>
        <w:ind w:firstLine="480"/>
        <w:jc w:val="center"/>
        <w:rPr>
          <w:rFonts w:ascii="黑体" w:hAnsi="黑体" w:eastAsia="黑体" w:cs="黑体"/>
          <w:sz w:val="24"/>
          <w:szCs w:val="24"/>
          <w:lang w:eastAsia="zh-CN"/>
        </w:rPr>
      </w:pPr>
      <w:r>
        <w:rPr>
          <w:rFonts w:hint="eastAsia" w:ascii="黑体" w:hAnsi="黑体" w:eastAsia="黑体" w:cs="黑体"/>
          <w:sz w:val="24"/>
          <w:szCs w:val="24"/>
          <w:lang w:eastAsia="zh-CN"/>
        </w:rPr>
        <w:t>表1-</w:t>
      </w:r>
      <w:r>
        <w:rPr>
          <w:rFonts w:ascii="黑体" w:hAnsi="黑体" w:eastAsia="黑体" w:cs="黑体"/>
          <w:sz w:val="24"/>
          <w:szCs w:val="24"/>
          <w:lang w:eastAsia="zh-CN"/>
        </w:rPr>
        <w:t>2</w:t>
      </w:r>
      <w:r>
        <w:rPr>
          <w:rFonts w:hint="eastAsia" w:ascii="黑体" w:hAnsi="黑体" w:eastAsia="黑体" w:cs="黑体"/>
          <w:sz w:val="24"/>
          <w:szCs w:val="24"/>
          <w:lang w:eastAsia="zh-CN"/>
        </w:rPr>
        <w:t>项目资金使用明细表（单位：万元）</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791"/>
        <w:gridCol w:w="3051"/>
        <w:gridCol w:w="1780"/>
        <w:gridCol w:w="1534"/>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tblHeader/>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序号</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内容</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已支付</w:t>
            </w:r>
          </w:p>
        </w:tc>
        <w:tc>
          <w:tcPr>
            <w:tcW w:w="921"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结余</w:t>
            </w:r>
          </w:p>
        </w:tc>
        <w:tc>
          <w:tcPr>
            <w:tcW w:w="70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预算执行率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1</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测绘费</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ascii="宋体" w:hAnsi="宋体" w:eastAsia="宋体" w:cs="宋体"/>
                <w:sz w:val="21"/>
                <w:szCs w:val="21"/>
              </w:rPr>
              <w:t>1.20</w:t>
            </w:r>
          </w:p>
        </w:tc>
        <w:tc>
          <w:tcPr>
            <w:tcW w:w="921" w:type="pct"/>
            <w:vMerge w:val="restart"/>
            <w:shd w:val="clear" w:color="auto" w:fill="auto"/>
            <w:noWrap/>
            <w:vAlign w:val="center"/>
          </w:tcPr>
          <w:p>
            <w:pPr>
              <w:widowControl w:val="0"/>
              <w:spacing w:line="260" w:lineRule="exact"/>
              <w:ind w:firstLine="210" w:firstLineChars="100"/>
              <w:jc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38.75</w:t>
            </w:r>
          </w:p>
        </w:tc>
        <w:tc>
          <w:tcPr>
            <w:tcW w:w="702" w:type="pct"/>
            <w:vMerge w:val="restar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96.90</w:t>
            </w:r>
            <w:r>
              <w:rPr>
                <w:rFonts w:hint="eastAsia" w:ascii="宋体" w:hAnsi="宋体" w:eastAsia="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2</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初步设计费</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9</w:t>
            </w:r>
            <w:r>
              <w:rPr>
                <w:rFonts w:ascii="宋体" w:hAnsi="宋体" w:eastAsia="宋体" w:cs="宋体"/>
                <w:color w:val="000000"/>
                <w:sz w:val="21"/>
                <w:szCs w:val="21"/>
                <w:lang w:eastAsia="zh-CN"/>
              </w:rPr>
              <w:t>.68</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3</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施工图设计</w:t>
            </w:r>
            <w:r>
              <w:rPr>
                <w:rFonts w:hint="eastAsia" w:ascii="宋体" w:hAnsi="宋体" w:eastAsia="宋体" w:cs="宋体"/>
                <w:sz w:val="21"/>
                <w:szCs w:val="21"/>
              </w:rPr>
              <w:t>费</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4.53</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4</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可研报告</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w:t>
            </w:r>
            <w:r>
              <w:rPr>
                <w:rFonts w:ascii="宋体" w:hAnsi="宋体" w:eastAsia="宋体" w:cs="宋体"/>
                <w:color w:val="000000"/>
                <w:sz w:val="21"/>
                <w:szCs w:val="21"/>
                <w:lang w:eastAsia="zh-CN"/>
              </w:rPr>
              <w:t>.90</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5</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项目地形图</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w:t>
            </w:r>
            <w:r>
              <w:rPr>
                <w:rFonts w:ascii="宋体" w:hAnsi="宋体" w:eastAsia="宋体" w:cs="宋体"/>
                <w:color w:val="000000"/>
                <w:sz w:val="21"/>
                <w:szCs w:val="21"/>
                <w:lang w:eastAsia="zh-CN"/>
              </w:rPr>
              <w:t>.50</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6</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乡村振兴招标代理</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6</w:t>
            </w:r>
            <w:r>
              <w:rPr>
                <w:rFonts w:ascii="宋体" w:hAnsi="宋体" w:eastAsia="宋体" w:cs="宋体"/>
                <w:color w:val="000000"/>
                <w:sz w:val="21"/>
                <w:szCs w:val="21"/>
                <w:lang w:eastAsia="zh-CN"/>
              </w:rPr>
              <w:t>.44</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7</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监理服务</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7</w:t>
            </w:r>
            <w:r>
              <w:rPr>
                <w:rFonts w:ascii="宋体" w:hAnsi="宋体" w:eastAsia="宋体" w:cs="宋体"/>
                <w:color w:val="000000"/>
                <w:sz w:val="21"/>
                <w:szCs w:val="21"/>
                <w:lang w:eastAsia="zh-CN"/>
              </w:rPr>
              <w:t>.30</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8</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监理服务</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7</w:t>
            </w:r>
            <w:r>
              <w:rPr>
                <w:rFonts w:ascii="宋体" w:hAnsi="宋体" w:eastAsia="宋体" w:cs="宋体"/>
                <w:color w:val="000000"/>
                <w:sz w:val="21"/>
                <w:szCs w:val="21"/>
                <w:lang w:eastAsia="zh-CN"/>
              </w:rPr>
              <w:t>.39</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rPr>
              <w:t>9</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sz w:val="21"/>
                <w:szCs w:val="21"/>
                <w:lang w:eastAsia="zh-CN"/>
              </w:rPr>
              <w:t>风情精装画</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6</w:t>
            </w:r>
            <w:r>
              <w:rPr>
                <w:rFonts w:ascii="宋体" w:hAnsi="宋体" w:eastAsia="宋体" w:cs="宋体"/>
                <w:color w:val="000000"/>
                <w:sz w:val="21"/>
                <w:szCs w:val="21"/>
                <w:lang w:eastAsia="zh-CN"/>
              </w:rPr>
              <w:t>.67</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0</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智慧屏</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6</w:t>
            </w:r>
            <w:r>
              <w:rPr>
                <w:rFonts w:ascii="宋体" w:hAnsi="宋体" w:eastAsia="宋体" w:cs="宋体"/>
                <w:color w:val="000000"/>
                <w:sz w:val="21"/>
                <w:szCs w:val="21"/>
                <w:lang w:eastAsia="zh-CN"/>
              </w:rPr>
              <w:t>.38</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1</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生活用具</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0</w:t>
            </w:r>
            <w:r>
              <w:rPr>
                <w:rFonts w:ascii="宋体" w:hAnsi="宋体" w:eastAsia="宋体" w:cs="宋体"/>
                <w:color w:val="000000"/>
                <w:sz w:val="21"/>
                <w:szCs w:val="21"/>
                <w:lang w:eastAsia="zh-CN"/>
              </w:rPr>
              <w:t>.54</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2</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被单床罩</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4</w:t>
            </w:r>
            <w:r>
              <w:rPr>
                <w:rFonts w:ascii="宋体" w:hAnsi="宋体" w:eastAsia="宋体" w:cs="宋体"/>
                <w:color w:val="000000"/>
                <w:sz w:val="21"/>
                <w:szCs w:val="21"/>
                <w:lang w:eastAsia="zh-CN"/>
              </w:rPr>
              <w:t>.82</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3</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厨房用具</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9</w:t>
            </w:r>
            <w:r>
              <w:rPr>
                <w:rFonts w:ascii="宋体" w:hAnsi="宋体" w:eastAsia="宋体" w:cs="宋体"/>
                <w:color w:val="000000"/>
                <w:sz w:val="21"/>
                <w:szCs w:val="21"/>
                <w:lang w:eastAsia="zh-CN"/>
              </w:rPr>
              <w:t>.79</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4</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绿化工程</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ascii="宋体" w:hAnsi="宋体" w:eastAsia="宋体" w:cs="宋体"/>
                <w:color w:val="000000"/>
                <w:sz w:val="21"/>
                <w:szCs w:val="21"/>
                <w:lang w:eastAsia="zh-CN"/>
              </w:rPr>
              <w:t>3.90</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5</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连翘原材料</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ascii="宋体" w:hAnsi="宋体" w:eastAsia="宋体" w:cs="宋体"/>
                <w:color w:val="000000"/>
                <w:sz w:val="21"/>
                <w:szCs w:val="21"/>
                <w:lang w:eastAsia="zh-CN"/>
              </w:rPr>
              <w:t>9.44</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6</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连翘种植</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6.21</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7</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连翘围挡</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2.35</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8</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电子屏等设备</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w:t>
            </w:r>
            <w:r>
              <w:rPr>
                <w:rFonts w:ascii="宋体" w:hAnsi="宋体" w:eastAsia="宋体" w:cs="宋体"/>
                <w:color w:val="000000"/>
                <w:sz w:val="21"/>
                <w:szCs w:val="21"/>
                <w:lang w:eastAsia="zh-CN"/>
              </w:rPr>
              <w:t>.23</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9</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工程款</w:t>
            </w: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1043</w:t>
            </w:r>
          </w:p>
        </w:tc>
        <w:tc>
          <w:tcPr>
            <w:tcW w:w="921" w:type="pct"/>
            <w:vMerge w:val="continue"/>
            <w:shd w:val="clear" w:color="auto" w:fill="auto"/>
            <w:noWrap/>
            <w:vAlign w:val="center"/>
          </w:tcPr>
          <w:p>
            <w:pPr>
              <w:widowControl w:val="0"/>
              <w:spacing w:line="260" w:lineRule="exact"/>
              <w:ind w:firstLine="42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420"/>
              <w:jc w:val="center"/>
              <w:rPr>
                <w:rFonts w:ascii="宋体" w:hAnsi="宋体" w:eastAsia="宋体" w:cs="宋体"/>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475"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合计</w:t>
            </w:r>
          </w:p>
        </w:tc>
        <w:tc>
          <w:tcPr>
            <w:tcW w:w="1832" w:type="pct"/>
            <w:vAlign w:val="center"/>
          </w:tcPr>
          <w:p>
            <w:pPr>
              <w:widowControl w:val="0"/>
              <w:spacing w:line="260" w:lineRule="exact"/>
              <w:ind w:firstLine="0" w:firstLineChars="0"/>
              <w:jc w:val="center"/>
              <w:rPr>
                <w:rFonts w:ascii="宋体" w:hAnsi="宋体" w:eastAsia="宋体" w:cs="宋体"/>
                <w:color w:val="000000"/>
                <w:sz w:val="21"/>
                <w:szCs w:val="21"/>
                <w:lang w:eastAsia="zh-CN"/>
              </w:rPr>
            </w:pPr>
          </w:p>
        </w:tc>
        <w:tc>
          <w:tcPr>
            <w:tcW w:w="1069" w:type="pct"/>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1211.25</w:t>
            </w:r>
          </w:p>
        </w:tc>
        <w:tc>
          <w:tcPr>
            <w:tcW w:w="921" w:type="pct"/>
            <w:vMerge w:val="continue"/>
            <w:shd w:val="clear" w:color="auto" w:fill="auto"/>
            <w:noWrap/>
            <w:vAlign w:val="center"/>
          </w:tcPr>
          <w:p>
            <w:pPr>
              <w:widowControl w:val="0"/>
              <w:spacing w:line="260" w:lineRule="exact"/>
              <w:ind w:firstLine="0" w:firstLineChars="0"/>
              <w:jc w:val="center"/>
              <w:rPr>
                <w:rFonts w:ascii="宋体" w:hAnsi="宋体" w:eastAsia="宋体" w:cs="宋体"/>
                <w:color w:val="000000"/>
                <w:sz w:val="21"/>
                <w:szCs w:val="21"/>
                <w:lang w:eastAsia="zh-CN"/>
              </w:rPr>
            </w:pPr>
          </w:p>
        </w:tc>
        <w:tc>
          <w:tcPr>
            <w:tcW w:w="702" w:type="pct"/>
            <w:vMerge w:val="continue"/>
            <w:vAlign w:val="center"/>
          </w:tcPr>
          <w:p>
            <w:pPr>
              <w:widowControl w:val="0"/>
              <w:spacing w:line="260" w:lineRule="exact"/>
              <w:ind w:firstLine="0" w:firstLineChars="0"/>
              <w:jc w:val="center"/>
              <w:rPr>
                <w:rFonts w:ascii="宋体" w:hAnsi="宋体" w:eastAsia="宋体" w:cs="宋体"/>
                <w:color w:val="000000"/>
                <w:sz w:val="21"/>
                <w:szCs w:val="21"/>
                <w:lang w:eastAsia="zh-CN"/>
              </w:rPr>
            </w:pPr>
          </w:p>
        </w:tc>
      </w:tr>
    </w:tbl>
    <w:p>
      <w:pPr>
        <w:pStyle w:val="5"/>
        <w:keepNext w:val="0"/>
        <w:keepLines w:val="0"/>
        <w:widowControl w:val="0"/>
        <w:ind w:firstLine="643"/>
        <w:rPr>
          <w:rFonts w:ascii="仿宋_GB2312" w:eastAsia="仿宋_GB2312" w:cs="楷体_GB2312"/>
          <w:szCs w:val="28"/>
          <w:lang w:eastAsia="zh-CN"/>
        </w:rPr>
      </w:pPr>
      <w:bookmarkStart w:id="51" w:name="_Toc97086041"/>
      <w:r>
        <w:rPr>
          <w:rFonts w:hint="eastAsia"/>
          <w:lang w:eastAsia="zh-CN"/>
        </w:rPr>
        <w:t>（三）项目绩效目标</w:t>
      </w:r>
      <w:bookmarkEnd w:id="51"/>
    </w:p>
    <w:p>
      <w:pPr>
        <w:pStyle w:val="6"/>
        <w:keepNext w:val="0"/>
        <w:keepLines w:val="0"/>
        <w:widowControl w:val="0"/>
        <w:ind w:firstLine="643"/>
        <w:rPr>
          <w:lang w:eastAsia="zh-CN"/>
        </w:rPr>
      </w:pPr>
      <w:bookmarkStart w:id="52" w:name="_Toc96054833"/>
      <w:bookmarkStart w:id="53" w:name="_Toc97086042"/>
      <w:bookmarkStart w:id="54" w:name="_Toc91979621"/>
      <w:r>
        <w:rPr>
          <w:lang w:eastAsia="zh-CN"/>
        </w:rPr>
        <w:t>1.项目总体目标</w:t>
      </w:r>
      <w:r>
        <w:rPr>
          <w:rFonts w:hint="eastAsia"/>
          <w:lang w:eastAsia="zh-CN"/>
        </w:rPr>
        <w:t>。</w:t>
      </w:r>
      <w:bookmarkEnd w:id="52"/>
      <w:bookmarkEnd w:id="53"/>
      <w:bookmarkEnd w:id="54"/>
    </w:p>
    <w:p>
      <w:pPr>
        <w:widowControl w:val="0"/>
        <w:ind w:firstLine="640"/>
        <w:rPr>
          <w:lang w:eastAsia="zh-CN"/>
        </w:rPr>
      </w:pPr>
      <w:bookmarkStart w:id="55" w:name="_Toc91979622"/>
      <w:bookmarkStart w:id="56" w:name="_Toc97086043"/>
      <w:bookmarkStart w:id="57" w:name="_Toc96054834"/>
      <w:r>
        <w:rPr>
          <w:rFonts w:hint="eastAsia" w:cs="仿宋"/>
          <w:lang w:eastAsia="zh-CN"/>
        </w:rPr>
        <w:t>通过项目实施可以改善农村人居环境、加强生态文明建设，改善农村生产生活条件，加快新农村建设。同时</w:t>
      </w:r>
      <w:r>
        <w:rPr>
          <w:lang w:eastAsia="zh-CN"/>
        </w:rPr>
        <w:t>通过建立示范村模板</w:t>
      </w:r>
      <w:r>
        <w:rPr>
          <w:rFonts w:hint="eastAsia"/>
          <w:lang w:eastAsia="zh-CN"/>
        </w:rPr>
        <w:t>，</w:t>
      </w:r>
      <w:r>
        <w:rPr>
          <w:lang w:eastAsia="zh-CN"/>
        </w:rPr>
        <w:t>进行差距比对和经验借鉴，有利于进行有针对性的提升和改进，从而切实改善农民生活环境，提高农民生活品质，促进乡村全面振兴。</w:t>
      </w:r>
    </w:p>
    <w:p>
      <w:pPr>
        <w:pStyle w:val="6"/>
        <w:keepNext w:val="0"/>
        <w:keepLines w:val="0"/>
        <w:widowControl w:val="0"/>
        <w:ind w:firstLine="643"/>
        <w:rPr>
          <w:lang w:eastAsia="zh-CN"/>
        </w:rPr>
      </w:pPr>
      <w:r>
        <w:rPr>
          <w:lang w:eastAsia="zh-CN"/>
        </w:rPr>
        <w:t>2.项目阶段性目标</w:t>
      </w:r>
      <w:r>
        <w:rPr>
          <w:rFonts w:hint="eastAsia"/>
          <w:lang w:eastAsia="zh-CN"/>
        </w:rPr>
        <w:t>。</w:t>
      </w:r>
      <w:bookmarkEnd w:id="55"/>
      <w:bookmarkEnd w:id="56"/>
      <w:bookmarkEnd w:id="57"/>
    </w:p>
    <w:p>
      <w:pPr>
        <w:widowControl w:val="0"/>
        <w:ind w:firstLine="640"/>
        <w:rPr>
          <w:lang w:eastAsia="zh-CN"/>
        </w:rPr>
      </w:pPr>
      <w:bookmarkStart w:id="58" w:name="_Toc10569_WPSOffice_Level3"/>
      <w:bookmarkStart w:id="59" w:name="_Toc16329_WPSOffice_Level3"/>
      <w:bookmarkStart w:id="60" w:name="_Toc3098_WPSOffice_Level3"/>
      <w:bookmarkStart w:id="61" w:name="_Toc7448_WPSOffice_Level3"/>
      <w:r>
        <w:rPr>
          <w:lang w:eastAsia="zh-CN"/>
        </w:rPr>
        <w:t>（1）产出目标</w:t>
      </w:r>
      <w:bookmarkEnd w:id="58"/>
      <w:bookmarkEnd w:id="59"/>
      <w:bookmarkEnd w:id="60"/>
      <w:bookmarkEnd w:id="61"/>
      <w:r>
        <w:rPr>
          <w:rFonts w:hint="eastAsia"/>
          <w:lang w:eastAsia="zh-CN"/>
        </w:rPr>
        <w:t>。</w:t>
      </w:r>
    </w:p>
    <w:p>
      <w:pPr>
        <w:widowControl w:val="0"/>
        <w:ind w:firstLine="640"/>
        <w:rPr>
          <w:lang w:eastAsia="zh-CN"/>
        </w:rPr>
      </w:pPr>
      <w:bookmarkStart w:id="62" w:name="_Toc97086044"/>
      <w:r>
        <w:rPr>
          <w:lang w:eastAsia="zh-CN"/>
        </w:rPr>
        <w:t>数量目标：</w:t>
      </w:r>
      <w:r>
        <w:rPr>
          <w:lang w:eastAsia="zh-CN"/>
        </w:rPr>
        <w:fldChar w:fldCharType="begin"/>
      </w:r>
      <w:r>
        <w:rPr>
          <w:lang w:eastAsia="zh-CN"/>
        </w:rPr>
        <w:instrText xml:space="preserve"> </w:instrText>
      </w:r>
      <w:r>
        <w:rPr>
          <w:rFonts w:hint="eastAsia"/>
          <w:lang w:eastAsia="zh-CN"/>
        </w:rPr>
        <w:instrText xml:space="preserve">= 1 \* GB3</w:instrText>
      </w:r>
      <w:r>
        <w:rPr>
          <w:lang w:eastAsia="zh-CN"/>
        </w:rPr>
        <w:instrText xml:space="preserve"> </w:instrText>
      </w:r>
      <w:r>
        <w:rPr>
          <w:lang w:eastAsia="zh-CN"/>
        </w:rPr>
        <w:fldChar w:fldCharType="separate"/>
      </w:r>
      <w:r>
        <w:rPr>
          <w:rFonts w:hint="eastAsia"/>
          <w:lang w:eastAsia="zh-CN"/>
        </w:rPr>
        <w:t>①</w:t>
      </w:r>
      <w:r>
        <w:rPr>
          <w:lang w:eastAsia="zh-CN"/>
        </w:rPr>
        <w:fldChar w:fldCharType="end"/>
      </w:r>
      <w:r>
        <w:rPr>
          <w:lang w:eastAsia="zh-CN"/>
        </w:rPr>
        <w:t>完成</w:t>
      </w:r>
      <w:r>
        <w:rPr>
          <w:rFonts w:hint="eastAsia"/>
          <w:lang w:eastAsia="zh-CN"/>
        </w:rPr>
        <w:t>康养驿站、民宿、生态停车场改造，其中改造康养驿站9</w:t>
      </w:r>
      <w:r>
        <w:rPr>
          <w:lang w:eastAsia="zh-CN"/>
        </w:rPr>
        <w:t>01.16</w:t>
      </w:r>
      <w:r>
        <w:rPr>
          <w:rFonts w:hint="eastAsia"/>
          <w:lang w:eastAsia="zh-CN"/>
        </w:rPr>
        <w:t>㎡，新建1</w:t>
      </w:r>
      <w:r>
        <w:rPr>
          <w:lang w:eastAsia="zh-CN"/>
        </w:rPr>
        <w:t>08</w:t>
      </w:r>
      <w:r>
        <w:rPr>
          <w:rFonts w:hint="eastAsia"/>
          <w:lang w:eastAsia="zh-CN"/>
        </w:rPr>
        <w:t>m³消防水池、改造民宿4家，共1</w:t>
      </w:r>
      <w:r>
        <w:rPr>
          <w:lang w:eastAsia="zh-CN"/>
        </w:rPr>
        <w:t>226.01</w:t>
      </w:r>
      <w:r>
        <w:rPr>
          <w:rFonts w:hint="eastAsia"/>
          <w:lang w:eastAsia="zh-CN"/>
        </w:rPr>
        <w:t>㎡、新建1家民宿、改造生态停车场7</w:t>
      </w:r>
      <w:r>
        <w:rPr>
          <w:lang w:eastAsia="zh-CN"/>
        </w:rPr>
        <w:t>47.05</w:t>
      </w:r>
      <w:r>
        <w:rPr>
          <w:rFonts w:hint="eastAsia"/>
          <w:lang w:eastAsia="zh-CN"/>
        </w:rPr>
        <w:t>㎡；</w:t>
      </w:r>
      <w:r>
        <w:rPr>
          <w:lang w:eastAsia="zh-CN"/>
        </w:rPr>
        <w:fldChar w:fldCharType="begin"/>
      </w:r>
      <w:r>
        <w:rPr>
          <w:lang w:eastAsia="zh-CN"/>
        </w:rPr>
        <w:instrText xml:space="preserve"> </w:instrText>
      </w:r>
      <w:r>
        <w:rPr>
          <w:rFonts w:hint="eastAsia"/>
          <w:lang w:eastAsia="zh-CN"/>
        </w:rPr>
        <w:instrText xml:space="preserve">= 2 \* GB3</w:instrText>
      </w:r>
      <w:r>
        <w:rPr>
          <w:lang w:eastAsia="zh-CN"/>
        </w:rPr>
        <w:instrText xml:space="preserve"> </w:instrText>
      </w:r>
      <w:r>
        <w:rPr>
          <w:lang w:eastAsia="zh-CN"/>
        </w:rPr>
        <w:fldChar w:fldCharType="separate"/>
      </w:r>
      <w:r>
        <w:rPr>
          <w:rFonts w:hint="eastAsia"/>
          <w:lang w:eastAsia="zh-CN"/>
        </w:rPr>
        <w:t>②</w:t>
      </w:r>
      <w:r>
        <w:rPr>
          <w:lang w:eastAsia="zh-CN"/>
        </w:rPr>
        <w:fldChar w:fldCharType="end"/>
      </w:r>
      <w:r>
        <w:rPr>
          <w:rFonts w:hint="eastAsia"/>
          <w:lang w:eastAsia="zh-CN"/>
        </w:rPr>
        <w:t>人居环境改善：绿化景观改造；</w:t>
      </w:r>
      <w:r>
        <w:rPr>
          <w:lang w:eastAsia="zh-CN"/>
        </w:rPr>
        <w:fldChar w:fldCharType="begin"/>
      </w:r>
      <w:r>
        <w:rPr>
          <w:lang w:eastAsia="zh-CN"/>
        </w:rPr>
        <w:instrText xml:space="preserve"> </w:instrText>
      </w:r>
      <w:r>
        <w:rPr>
          <w:rFonts w:hint="eastAsia"/>
          <w:lang w:eastAsia="zh-CN"/>
        </w:rPr>
        <w:instrText xml:space="preserve">= 3 \* GB3</w:instrText>
      </w:r>
      <w:r>
        <w:rPr>
          <w:lang w:eastAsia="zh-CN"/>
        </w:rPr>
        <w:instrText xml:space="preserve"> </w:instrText>
      </w:r>
      <w:r>
        <w:rPr>
          <w:lang w:eastAsia="zh-CN"/>
        </w:rPr>
        <w:fldChar w:fldCharType="separate"/>
      </w:r>
      <w:r>
        <w:rPr>
          <w:rFonts w:hint="eastAsia"/>
          <w:lang w:eastAsia="zh-CN"/>
        </w:rPr>
        <w:t>③</w:t>
      </w:r>
      <w:r>
        <w:rPr>
          <w:lang w:eastAsia="zh-CN"/>
        </w:rPr>
        <w:fldChar w:fldCharType="end"/>
      </w:r>
      <w:r>
        <w:rPr>
          <w:rFonts w:hint="eastAsia"/>
          <w:lang w:eastAsia="zh-CN"/>
        </w:rPr>
        <w:t>给水污水管网改造：改造给水管网3</w:t>
      </w:r>
      <w:r>
        <w:rPr>
          <w:lang w:eastAsia="zh-CN"/>
        </w:rPr>
        <w:t>198</w:t>
      </w:r>
      <w:r>
        <w:rPr>
          <w:rFonts w:hint="eastAsia"/>
          <w:lang w:eastAsia="zh-CN"/>
        </w:rPr>
        <w:t>米，污水管网2</w:t>
      </w:r>
      <w:r>
        <w:rPr>
          <w:lang w:eastAsia="zh-CN"/>
        </w:rPr>
        <w:t>809</w:t>
      </w:r>
      <w:r>
        <w:rPr>
          <w:rFonts w:hint="eastAsia"/>
          <w:lang w:eastAsia="zh-CN"/>
        </w:rPr>
        <w:t>米。</w:t>
      </w:r>
    </w:p>
    <w:p>
      <w:pPr>
        <w:widowControl w:val="0"/>
        <w:ind w:firstLine="640"/>
        <w:rPr>
          <w:lang w:eastAsia="zh-CN"/>
        </w:rPr>
      </w:pPr>
      <w:r>
        <w:rPr>
          <w:lang w:eastAsia="zh-CN"/>
        </w:rPr>
        <w:t>质量目标：</w:t>
      </w:r>
      <w:bookmarkStart w:id="63" w:name="_Hlk152835712"/>
      <w:r>
        <w:rPr>
          <w:rFonts w:hint="eastAsia"/>
          <w:lang w:eastAsia="zh-CN"/>
        </w:rPr>
        <w:t>工程质量</w:t>
      </w:r>
      <w:r>
        <w:rPr>
          <w:lang w:eastAsia="zh-CN"/>
        </w:rPr>
        <w:t>符合</w:t>
      </w:r>
      <w:r>
        <w:rPr>
          <w:rFonts w:hint="eastAsia"/>
          <w:lang w:eastAsia="zh-CN"/>
        </w:rPr>
        <w:t>国家质量验评</w:t>
      </w:r>
      <w:r>
        <w:rPr>
          <w:lang w:eastAsia="zh-CN"/>
        </w:rPr>
        <w:t>标准</w:t>
      </w:r>
      <w:r>
        <w:rPr>
          <w:rFonts w:hint="eastAsia"/>
          <w:lang w:eastAsia="zh-CN"/>
        </w:rPr>
        <w:t>，</w:t>
      </w:r>
      <w:r>
        <w:rPr>
          <w:rFonts w:hint="eastAsia" w:cs="仿宋"/>
          <w:lang w:eastAsia="zh-CN"/>
        </w:rPr>
        <w:t>工程质量达标率100%，建设严格按照</w:t>
      </w:r>
      <w:r>
        <w:rPr>
          <w:lang w:eastAsia="zh-CN"/>
        </w:rPr>
        <w:t>《民用建筑设计统一标准》（GB50352-2019</w:t>
      </w:r>
      <w:r>
        <w:rPr>
          <w:rFonts w:hint="eastAsia"/>
          <w:lang w:eastAsia="zh-CN"/>
        </w:rPr>
        <w:t>）、</w:t>
      </w:r>
      <w:r>
        <w:rPr>
          <w:lang w:eastAsia="zh-CN"/>
        </w:rPr>
        <w:t>《公共建筑节能改造技术规范》（JGJ176-2009）</w:t>
      </w:r>
      <w:r>
        <w:rPr>
          <w:rFonts w:hint="eastAsia"/>
          <w:lang w:eastAsia="zh-CN"/>
        </w:rPr>
        <w:t>、</w:t>
      </w:r>
      <w:r>
        <w:rPr>
          <w:lang w:eastAsia="zh-CN"/>
        </w:rPr>
        <w:t>《公园设计规范》</w:t>
      </w:r>
      <w:r>
        <w:rPr>
          <w:rFonts w:hint="eastAsia"/>
          <w:lang w:eastAsia="zh-CN"/>
        </w:rPr>
        <w:t>（</w:t>
      </w:r>
      <w:r>
        <w:rPr>
          <w:lang w:eastAsia="zh-CN"/>
        </w:rPr>
        <w:t>GB51192-2016</w:t>
      </w:r>
      <w:r>
        <w:rPr>
          <w:rFonts w:hint="eastAsia"/>
          <w:lang w:eastAsia="zh-CN"/>
        </w:rPr>
        <w:t>）等文件要求施工要求并</w:t>
      </w:r>
      <w:r>
        <w:rPr>
          <w:lang w:eastAsia="zh-CN"/>
        </w:rPr>
        <w:t>验收合格。</w:t>
      </w:r>
    </w:p>
    <w:bookmarkEnd w:id="63"/>
    <w:p>
      <w:pPr>
        <w:widowControl w:val="0"/>
        <w:ind w:firstLine="640"/>
        <w:rPr>
          <w:lang w:eastAsia="zh-CN"/>
        </w:rPr>
      </w:pPr>
      <w:r>
        <w:rPr>
          <w:lang w:eastAsia="zh-CN"/>
        </w:rPr>
        <w:t>时效目标：90</w:t>
      </w:r>
      <w:r>
        <w:rPr>
          <w:rFonts w:hint="eastAsia"/>
          <w:lang w:eastAsia="zh-CN"/>
        </w:rPr>
        <w:t>天</w:t>
      </w:r>
      <w:r>
        <w:rPr>
          <w:lang w:eastAsia="zh-CN"/>
        </w:rPr>
        <w:t>。</w:t>
      </w:r>
    </w:p>
    <w:p>
      <w:pPr>
        <w:widowControl w:val="0"/>
        <w:ind w:firstLine="640"/>
        <w:rPr>
          <w:lang w:eastAsia="zh-CN"/>
        </w:rPr>
      </w:pPr>
      <w:r>
        <w:rPr>
          <w:lang w:eastAsia="zh-CN"/>
        </w:rPr>
        <w:t>成本目标：费用节余率即项目资金有适当节约，费用支出无超支情况。</w:t>
      </w:r>
      <w:bookmarkStart w:id="64" w:name="_Toc27589_WPSOffice_Level3"/>
      <w:bookmarkStart w:id="65" w:name="_Toc28955_WPSOffice_Level3"/>
      <w:bookmarkStart w:id="66" w:name="_Toc4313_WPSOffice_Level3"/>
      <w:bookmarkStart w:id="67" w:name="_Toc12371_WPSOffice_Level3"/>
    </w:p>
    <w:p>
      <w:pPr>
        <w:widowControl w:val="0"/>
        <w:ind w:firstLine="640"/>
        <w:rPr>
          <w:rFonts w:cs="仿宋"/>
          <w:lang w:eastAsia="zh-CN"/>
        </w:rPr>
      </w:pPr>
      <w:r>
        <w:rPr>
          <w:lang w:eastAsia="zh-CN"/>
        </w:rPr>
        <w:t>（</w:t>
      </w:r>
      <w:r>
        <w:rPr>
          <w:rFonts w:hint="eastAsia" w:cs="仿宋"/>
          <w:lang w:eastAsia="zh-CN"/>
        </w:rPr>
        <w:t>2）效益目标</w:t>
      </w:r>
      <w:bookmarkEnd w:id="64"/>
      <w:bookmarkEnd w:id="65"/>
      <w:bookmarkEnd w:id="66"/>
      <w:bookmarkEnd w:id="67"/>
      <w:r>
        <w:rPr>
          <w:rFonts w:hint="eastAsia" w:cs="仿宋"/>
          <w:lang w:eastAsia="zh-CN"/>
        </w:rPr>
        <w:t>。</w:t>
      </w:r>
    </w:p>
    <w:p>
      <w:pPr>
        <w:widowControl w:val="0"/>
        <w:ind w:firstLine="640"/>
        <w:rPr>
          <w:lang w:eastAsia="zh-CN"/>
        </w:rPr>
      </w:pPr>
      <w:bookmarkStart w:id="68" w:name="_Toc1634_WPSOffice_Level3"/>
      <w:bookmarkStart w:id="69" w:name="_Toc21961_WPSOffice_Level3"/>
      <w:r>
        <w:rPr>
          <w:rFonts w:hint="eastAsia"/>
          <w:lang w:eastAsia="zh-CN"/>
        </w:rPr>
        <w:t>经济效益：</w:t>
      </w:r>
      <w:bookmarkStart w:id="70" w:name="_Hlk152835726"/>
      <w:r>
        <w:rPr>
          <w:rFonts w:hint="eastAsia"/>
          <w:lang w:eastAsia="zh-CN"/>
        </w:rPr>
        <w:t>本项目改造完成后，</w:t>
      </w:r>
      <w:bookmarkEnd w:id="70"/>
      <w:r>
        <w:rPr>
          <w:rFonts w:hint="eastAsia"/>
          <w:lang w:eastAsia="zh-CN"/>
        </w:rPr>
        <w:t>能</w:t>
      </w:r>
      <w:r>
        <w:rPr>
          <w:lang w:eastAsia="zh-CN"/>
        </w:rPr>
        <w:t>吸引更多的游人来安泽县旅游，完善安泽县投资环境</w:t>
      </w:r>
      <w:r>
        <w:rPr>
          <w:rFonts w:hint="eastAsia"/>
          <w:lang w:eastAsia="zh-CN"/>
        </w:rPr>
        <w:t>，</w:t>
      </w:r>
      <w:r>
        <w:rPr>
          <w:lang w:eastAsia="zh-CN"/>
        </w:rPr>
        <w:t>带动当地经济的快速发展</w:t>
      </w:r>
      <w:r>
        <w:rPr>
          <w:rFonts w:hint="eastAsia"/>
          <w:lang w:eastAsia="zh-CN"/>
        </w:rPr>
        <w:t>。</w:t>
      </w:r>
    </w:p>
    <w:p>
      <w:pPr>
        <w:widowControl w:val="0"/>
        <w:ind w:firstLine="640"/>
        <w:rPr>
          <w:lang w:eastAsia="zh-CN"/>
        </w:rPr>
      </w:pPr>
      <w:r>
        <w:rPr>
          <w:rFonts w:hint="eastAsia"/>
          <w:lang w:eastAsia="zh-CN"/>
        </w:rPr>
        <w:t>生态效益：</w:t>
      </w:r>
      <w:r>
        <w:rPr>
          <w:lang w:eastAsia="zh-CN"/>
        </w:rPr>
        <w:t>项目的建设能够增加区域绿化率，提高环境质量，改善乡村生态环境</w:t>
      </w:r>
      <w:r>
        <w:rPr>
          <w:rFonts w:hint="eastAsia"/>
          <w:lang w:eastAsia="zh-CN"/>
        </w:rPr>
        <w:t>，</w:t>
      </w:r>
      <w:r>
        <w:rPr>
          <w:lang w:eastAsia="zh-CN"/>
        </w:rPr>
        <w:t>提高人民群众生活质量</w:t>
      </w:r>
      <w:r>
        <w:rPr>
          <w:rFonts w:hint="eastAsia"/>
          <w:lang w:eastAsia="zh-CN"/>
        </w:rPr>
        <w:t>，</w:t>
      </w:r>
      <w:r>
        <w:rPr>
          <w:lang w:eastAsia="zh-CN"/>
        </w:rPr>
        <w:t>为树立文明、整洁、乡村化的农村新形象打下良好的基础</w:t>
      </w:r>
      <w:r>
        <w:rPr>
          <w:rFonts w:hint="eastAsia"/>
          <w:lang w:eastAsia="zh-CN"/>
        </w:rPr>
        <w:t>。</w:t>
      </w:r>
    </w:p>
    <w:p>
      <w:pPr>
        <w:widowControl w:val="0"/>
        <w:ind w:firstLine="640"/>
        <w:rPr>
          <w:lang w:eastAsia="zh-CN"/>
        </w:rPr>
      </w:pPr>
      <w:r>
        <w:rPr>
          <w:rFonts w:hint="eastAsia"/>
          <w:lang w:eastAsia="zh-CN"/>
        </w:rPr>
        <w:t>社会效益：有利于改善乡村面貌，塑造乡村形象，提升乡村品质，</w:t>
      </w:r>
      <w:r>
        <w:rPr>
          <w:lang w:eastAsia="zh-CN"/>
        </w:rPr>
        <w:t>为人民提供了一个交往、娱乐、休闲和集会的场所，丰富了人民业余的生活，对于提高人民的生活水平起到重要作用，可以有效改善周边群众的居住环境，增加周边居民休闲及娱乐空间，提升周边群众的生活质量</w:t>
      </w:r>
      <w:r>
        <w:rPr>
          <w:rFonts w:hint="eastAsia"/>
          <w:lang w:eastAsia="zh-CN"/>
        </w:rPr>
        <w:t>。</w:t>
      </w:r>
    </w:p>
    <w:p>
      <w:pPr>
        <w:pStyle w:val="11"/>
        <w:widowControl w:val="0"/>
        <w:spacing w:after="0"/>
        <w:ind w:firstLine="640"/>
        <w:rPr>
          <w:lang w:eastAsia="zh-CN"/>
        </w:rPr>
      </w:pPr>
      <w:bookmarkStart w:id="71" w:name="_Hlk152835760"/>
      <w:r>
        <w:rPr>
          <w:rFonts w:hint="eastAsia" w:cs="仿宋"/>
          <w:lang w:eastAsia="zh-CN"/>
        </w:rPr>
        <w:t>可持续影响：项目建设后省石渠村乡村示范村的长效机制建设完备性。</w:t>
      </w:r>
    </w:p>
    <w:bookmarkEnd w:id="71"/>
    <w:p>
      <w:pPr>
        <w:widowControl w:val="0"/>
        <w:ind w:firstLine="640"/>
        <w:rPr>
          <w:lang w:eastAsia="zh-CN"/>
        </w:rPr>
      </w:pPr>
      <w:r>
        <w:rPr>
          <w:rFonts w:hint="eastAsia" w:cs="仿宋"/>
          <w:lang w:eastAsia="zh-CN"/>
        </w:rPr>
        <w:t>服务对象满意度：</w:t>
      </w:r>
      <w:bookmarkStart w:id="72" w:name="_Hlk152835775"/>
      <w:r>
        <w:rPr>
          <w:rFonts w:hint="eastAsia" w:cs="仿宋"/>
          <w:lang w:eastAsia="zh-CN"/>
        </w:rPr>
        <w:t>项目区村民满意度≥95%</w:t>
      </w:r>
      <w:bookmarkEnd w:id="72"/>
      <w:r>
        <w:rPr>
          <w:lang w:eastAsia="zh-CN"/>
        </w:rPr>
        <w:t>。</w:t>
      </w:r>
      <w:bookmarkEnd w:id="68"/>
      <w:bookmarkEnd w:id="69"/>
    </w:p>
    <w:p>
      <w:pPr>
        <w:pStyle w:val="5"/>
        <w:keepNext w:val="0"/>
        <w:keepLines w:val="0"/>
        <w:widowControl w:val="0"/>
        <w:ind w:firstLine="643"/>
        <w:rPr>
          <w:lang w:eastAsia="zh-CN"/>
        </w:rPr>
      </w:pPr>
      <w:bookmarkStart w:id="73" w:name="_Hlk152840327"/>
      <w:r>
        <w:rPr>
          <w:rFonts w:hint="eastAsia"/>
          <w:lang w:eastAsia="zh-CN"/>
        </w:rPr>
        <w:t>（</w:t>
      </w:r>
      <w:bookmarkStart w:id="74" w:name="_Hlk152840103"/>
      <w:r>
        <w:rPr>
          <w:rFonts w:hint="eastAsia"/>
          <w:lang w:eastAsia="zh-CN"/>
        </w:rPr>
        <w:t>四）项目内容及实施情况</w:t>
      </w:r>
    </w:p>
    <w:bookmarkEnd w:id="73"/>
    <w:p>
      <w:pPr>
        <w:pStyle w:val="6"/>
        <w:keepNext w:val="0"/>
        <w:keepLines w:val="0"/>
        <w:widowControl w:val="0"/>
        <w:ind w:firstLine="643"/>
        <w:rPr>
          <w:lang w:eastAsia="zh-CN"/>
        </w:rPr>
      </w:pPr>
      <w:r>
        <w:rPr>
          <w:lang w:eastAsia="zh-CN"/>
        </w:rPr>
        <w:t>1</w:t>
      </w:r>
      <w:r>
        <w:rPr>
          <w:rFonts w:hint="eastAsia"/>
          <w:lang w:eastAsia="zh-CN"/>
        </w:rPr>
        <w:t>.</w:t>
      </w:r>
      <w:r>
        <w:rPr>
          <w:lang w:eastAsia="zh-CN"/>
        </w:rPr>
        <w:t>项目</w:t>
      </w:r>
      <w:r>
        <w:rPr>
          <w:rFonts w:hint="eastAsia"/>
          <w:lang w:eastAsia="zh-CN"/>
        </w:rPr>
        <w:t>实施</w:t>
      </w:r>
      <w:r>
        <w:rPr>
          <w:lang w:eastAsia="zh-CN"/>
        </w:rPr>
        <w:t>内容</w:t>
      </w:r>
      <w:r>
        <w:rPr>
          <w:rFonts w:hint="eastAsia"/>
          <w:lang w:eastAsia="zh-CN"/>
        </w:rPr>
        <w:t>。</w:t>
      </w:r>
    </w:p>
    <w:bookmarkEnd w:id="74"/>
    <w:p>
      <w:pPr>
        <w:widowControl w:val="0"/>
        <w:ind w:firstLine="640"/>
        <w:rPr>
          <w:lang w:eastAsia="zh-CN"/>
        </w:rPr>
      </w:pPr>
      <w:r>
        <w:rPr>
          <w:rFonts w:hint="eastAsia"/>
          <w:lang w:eastAsia="zh-CN"/>
        </w:rPr>
        <w:t>《安泽县行政审批服务管理局关于安泽县和川镇人民政府安泽县和川镇石渠村乡村振兴示范村建设工程初步设计及概算的批复》（安行审发</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lang w:eastAsia="zh-CN"/>
        </w:rPr>
        <w:t>54</w:t>
      </w:r>
      <w:r>
        <w:rPr>
          <w:rFonts w:hint="eastAsia"/>
          <w:lang w:eastAsia="zh-CN"/>
        </w:rPr>
        <w:t>号）文件要求，</w:t>
      </w:r>
      <w:r>
        <w:rPr>
          <w:lang w:eastAsia="zh-CN"/>
        </w:rPr>
        <w:t>石渠村乡村振兴示范村建设项目</w:t>
      </w:r>
      <w:r>
        <w:rPr>
          <w:rFonts w:hint="eastAsia"/>
          <w:lang w:eastAsia="zh-CN"/>
        </w:rPr>
        <w:t>初步设计批复总概算为1</w:t>
      </w:r>
      <w:r>
        <w:rPr>
          <w:lang w:eastAsia="zh-CN"/>
        </w:rPr>
        <w:t>496.19</w:t>
      </w:r>
      <w:r>
        <w:rPr>
          <w:rFonts w:hint="eastAsia"/>
          <w:lang w:eastAsia="zh-CN"/>
        </w:rPr>
        <w:t>万元，包括</w:t>
      </w:r>
      <w:r>
        <w:rPr>
          <w:lang w:eastAsia="zh-CN"/>
        </w:rPr>
        <w:t>乡村振兴示范村建设项目</w:t>
      </w:r>
      <w:r>
        <w:rPr>
          <w:rFonts w:hint="eastAsia"/>
          <w:lang w:eastAsia="zh-CN"/>
        </w:rPr>
        <w:t>和温室大棚项目，其中乡村振兴示范村建设项目初步设计批复总投资1</w:t>
      </w:r>
      <w:r>
        <w:rPr>
          <w:lang w:eastAsia="zh-CN"/>
        </w:rPr>
        <w:t>177.20</w:t>
      </w:r>
      <w:r>
        <w:rPr>
          <w:rFonts w:hint="eastAsia"/>
          <w:lang w:eastAsia="zh-CN"/>
        </w:rPr>
        <w:t>万元（乡村振兴示范村项目工程款1</w:t>
      </w:r>
      <w:r>
        <w:rPr>
          <w:lang w:eastAsia="zh-CN"/>
        </w:rPr>
        <w:t>034.17</w:t>
      </w:r>
      <w:r>
        <w:rPr>
          <w:rFonts w:hint="eastAsia"/>
          <w:lang w:eastAsia="zh-CN"/>
        </w:rPr>
        <w:t>万元，采摘大棚项目工程款2</w:t>
      </w:r>
      <w:r>
        <w:rPr>
          <w:lang w:eastAsia="zh-CN"/>
        </w:rPr>
        <w:t>80.23</w:t>
      </w:r>
      <w:r>
        <w:rPr>
          <w:rFonts w:hint="eastAsia"/>
          <w:lang w:eastAsia="zh-CN"/>
        </w:rPr>
        <w:t>万元，按建设工程费用比例分摊工程建设其他费和基本预备费等二类费用，乡村振兴示范村项目二类费用共1</w:t>
      </w:r>
      <w:r>
        <w:rPr>
          <w:lang w:eastAsia="zh-CN"/>
        </w:rPr>
        <w:t>43.03</w:t>
      </w:r>
      <w:r>
        <w:rPr>
          <w:rFonts w:hint="eastAsia"/>
          <w:lang w:eastAsia="zh-CN"/>
        </w:rPr>
        <w:t>万元）。具体实施内容为：（1）康养驿站</w:t>
      </w:r>
      <w:r>
        <w:rPr>
          <w:lang w:eastAsia="zh-CN"/>
        </w:rPr>
        <w:t>、民宿、生态停车场</w:t>
      </w:r>
      <w:r>
        <w:rPr>
          <w:rFonts w:hint="eastAsia"/>
          <w:lang w:eastAsia="zh-CN"/>
        </w:rPr>
        <w:t>改造：康养驿站总用地面积为2</w:t>
      </w:r>
      <w:r>
        <w:rPr>
          <w:lang w:eastAsia="zh-CN"/>
        </w:rPr>
        <w:t>168.73</w:t>
      </w:r>
      <w:r>
        <w:rPr>
          <w:rFonts w:hint="eastAsia"/>
          <w:lang w:eastAsia="zh-CN"/>
        </w:rPr>
        <w:t>㎡，改造总建筑面积9</w:t>
      </w:r>
      <w:r>
        <w:rPr>
          <w:lang w:eastAsia="zh-CN"/>
        </w:rPr>
        <w:t>01.16</w:t>
      </w:r>
      <w:r>
        <w:rPr>
          <w:rFonts w:hint="eastAsia"/>
          <w:lang w:eastAsia="zh-CN"/>
        </w:rPr>
        <w:t>㎡，包括驿站主楼改造和公厕改造；新建1</w:t>
      </w:r>
      <w:r>
        <w:rPr>
          <w:lang w:eastAsia="zh-CN"/>
        </w:rPr>
        <w:t>08</w:t>
      </w:r>
      <w:r>
        <w:rPr>
          <w:rFonts w:hint="eastAsia"/>
          <w:lang w:eastAsia="zh-CN"/>
        </w:rPr>
        <w:t>m³消防水池；民宿改造1</w:t>
      </w:r>
      <w:r>
        <w:rPr>
          <w:lang w:eastAsia="zh-CN"/>
        </w:rPr>
        <w:t>226.01</w:t>
      </w:r>
      <w:r>
        <w:rPr>
          <w:rFonts w:hint="eastAsia"/>
          <w:lang w:eastAsia="zh-CN"/>
        </w:rPr>
        <w:t>㎡，共4家；改造生态停车场面积7</w:t>
      </w:r>
      <w:r>
        <w:rPr>
          <w:lang w:eastAsia="zh-CN"/>
        </w:rPr>
        <w:t>47.05</w:t>
      </w:r>
      <w:r>
        <w:rPr>
          <w:rFonts w:hint="eastAsia"/>
          <w:lang w:eastAsia="zh-CN"/>
        </w:rPr>
        <w:t>㎡，拆除原有村委会改造成生态停车场，增加两个6</w:t>
      </w:r>
      <w:r>
        <w:rPr>
          <w:lang w:eastAsia="zh-CN"/>
        </w:rPr>
        <w:t>0KW</w:t>
      </w:r>
      <w:r>
        <w:rPr>
          <w:rFonts w:hint="eastAsia"/>
          <w:lang w:eastAsia="zh-CN"/>
        </w:rPr>
        <w:t>充电桩。（2）人居环境改善：绿化景观改造包括小公园绿化、休闲景观节点、康养驿站、民宿、生态停车场局部改造绿化设计等；石渠书院改造总面积3</w:t>
      </w:r>
      <w:r>
        <w:rPr>
          <w:lang w:eastAsia="zh-CN"/>
        </w:rPr>
        <w:t>75.61</w:t>
      </w:r>
      <w:r>
        <w:rPr>
          <w:rFonts w:hint="eastAsia"/>
          <w:lang w:eastAsia="zh-CN"/>
        </w:rPr>
        <w:t>㎡；书香园等绿化改造。（3）</w:t>
      </w:r>
      <w:r>
        <w:rPr>
          <w:lang w:eastAsia="zh-CN"/>
        </w:rPr>
        <w:t>给水污水管网改造</w:t>
      </w:r>
      <w:r>
        <w:rPr>
          <w:rFonts w:hint="eastAsia"/>
          <w:lang w:eastAsia="zh-CN"/>
        </w:rPr>
        <w:t>：全村改造给水管网3</w:t>
      </w:r>
      <w:r>
        <w:rPr>
          <w:lang w:eastAsia="zh-CN"/>
        </w:rPr>
        <w:t>198</w:t>
      </w:r>
      <w:r>
        <w:rPr>
          <w:rFonts w:hint="eastAsia"/>
          <w:lang w:eastAsia="zh-CN"/>
        </w:rPr>
        <w:t>米，改造污水管2</w:t>
      </w:r>
      <w:r>
        <w:rPr>
          <w:lang w:eastAsia="zh-CN"/>
        </w:rPr>
        <w:t>809</w:t>
      </w:r>
      <w:r>
        <w:rPr>
          <w:rFonts w:hint="eastAsia"/>
          <w:lang w:eastAsia="zh-CN"/>
        </w:rPr>
        <w:t>米，均采用直埋方式敷设。给水管材采用钢丝网骨架P</w:t>
      </w:r>
      <w:r>
        <w:rPr>
          <w:lang w:eastAsia="zh-CN"/>
        </w:rPr>
        <w:t>E</w:t>
      </w:r>
      <w:r>
        <w:rPr>
          <w:rFonts w:hint="eastAsia"/>
          <w:lang w:eastAsia="zh-CN"/>
        </w:rPr>
        <w:t>塑料管，污水管材采用双壁波纹管。</w:t>
      </w:r>
      <w:bookmarkStart w:id="75" w:name="_Hlk152835316"/>
      <w:r>
        <w:rPr>
          <w:rFonts w:hint="eastAsia"/>
          <w:lang w:eastAsia="zh-CN"/>
        </w:rPr>
        <w:t>但在进行4家民宿改造时，因原协商屋主后期施工时又不同意改造，建设单位经过研究决定重新改造4家民宿，石渠书院不进行改造，新建1家民宿院落，并对剧院进行改造。</w:t>
      </w:r>
      <w:bookmarkEnd w:id="75"/>
      <w:r>
        <w:rPr>
          <w:rFonts w:hint="eastAsia"/>
          <w:lang w:eastAsia="zh-CN"/>
        </w:rPr>
        <w:t>具体内容详见表1-</w:t>
      </w:r>
      <w:r>
        <w:rPr>
          <w:lang w:eastAsia="zh-CN"/>
        </w:rPr>
        <w:t>3</w:t>
      </w:r>
      <w:r>
        <w:rPr>
          <w:rFonts w:hint="eastAsia"/>
          <w:lang w:eastAsia="zh-CN"/>
        </w:rPr>
        <w:t>。</w:t>
      </w:r>
    </w:p>
    <w:p>
      <w:pPr>
        <w:pStyle w:val="20"/>
        <w:widowControl w:val="0"/>
        <w:spacing w:line="240" w:lineRule="auto"/>
        <w:ind w:firstLine="480"/>
        <w:jc w:val="center"/>
        <w:rPr>
          <w:rFonts w:ascii="黑体" w:hAnsi="黑体" w:eastAsia="黑体" w:cs="黑体"/>
          <w:szCs w:val="24"/>
          <w:lang w:eastAsia="zh-CN"/>
        </w:rPr>
      </w:pPr>
      <w:r>
        <w:rPr>
          <w:rFonts w:hint="eastAsia" w:ascii="黑体" w:hAnsi="黑体" w:eastAsia="黑体" w:cs="黑体"/>
          <w:szCs w:val="24"/>
          <w:lang w:eastAsia="zh-CN"/>
        </w:rPr>
        <w:t>表1-</w:t>
      </w:r>
      <w:r>
        <w:rPr>
          <w:rFonts w:ascii="黑体" w:hAnsi="黑体" w:eastAsia="黑体" w:cs="黑体"/>
          <w:szCs w:val="24"/>
          <w:lang w:eastAsia="zh-CN"/>
        </w:rPr>
        <w:t>3</w:t>
      </w:r>
      <w:r>
        <w:rPr>
          <w:rFonts w:hint="eastAsia" w:ascii="黑体" w:hAnsi="黑体" w:eastAsia="黑体" w:cs="黑体"/>
          <w:szCs w:val="24"/>
          <w:lang w:eastAsia="zh-CN"/>
        </w:rPr>
        <w:t xml:space="preserve"> 项目建设内容明细表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2093" w:type="dxa"/>
            <w:shd w:val="clear" w:color="auto" w:fill="auto"/>
            <w:noWrap/>
            <w:vAlign w:val="center"/>
          </w:tcPr>
          <w:p>
            <w:pPr>
              <w:widowControl w:val="0"/>
              <w:spacing w:line="240" w:lineRule="auto"/>
              <w:ind w:firstLine="630" w:firstLineChars="300"/>
              <w:rPr>
                <w:rFonts w:ascii="宋体" w:hAnsi="宋体" w:eastAsia="宋体" w:cs="宋体"/>
                <w:color w:val="000000"/>
                <w:sz w:val="21"/>
                <w:szCs w:val="21"/>
                <w:lang w:eastAsia="zh-CN"/>
              </w:rPr>
            </w:pPr>
            <w:bookmarkStart w:id="76" w:name="_Hlk152493115"/>
            <w:r>
              <w:rPr>
                <w:rFonts w:hint="eastAsia" w:ascii="宋体" w:hAnsi="宋体" w:eastAsia="宋体" w:cs="宋体"/>
                <w:color w:val="000000"/>
                <w:sz w:val="21"/>
                <w:szCs w:val="21"/>
                <w:lang w:eastAsia="zh-CN"/>
              </w:rPr>
              <w:t>项目</w:t>
            </w:r>
          </w:p>
        </w:tc>
        <w:tc>
          <w:tcPr>
            <w:tcW w:w="6429" w:type="dxa"/>
            <w:shd w:val="clear" w:color="auto" w:fill="auto"/>
            <w:noWrap/>
            <w:vAlign w:val="center"/>
          </w:tcPr>
          <w:p>
            <w:pPr>
              <w:widowControl w:val="0"/>
              <w:spacing w:line="240" w:lineRule="auto"/>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restart"/>
            <w:shd w:val="clear" w:color="auto" w:fill="auto"/>
            <w:noWrap/>
            <w:vAlign w:val="center"/>
          </w:tcPr>
          <w:p>
            <w:pPr>
              <w:widowControl w:val="0"/>
              <w:spacing w:line="240" w:lineRule="auto"/>
              <w:ind w:firstLine="0" w:firstLineChars="0"/>
              <w:jc w:val="center"/>
              <w:rPr>
                <w:rFonts w:cs="宋体" w:asciiTheme="minorEastAsia" w:hAnsiTheme="minorEastAsia" w:eastAsiaTheme="minorEastAsia"/>
                <w:color w:val="000000"/>
                <w:sz w:val="21"/>
                <w:szCs w:val="21"/>
                <w:lang w:eastAsia="zh-CN"/>
              </w:rPr>
            </w:pPr>
            <w:r>
              <w:rPr>
                <w:rFonts w:hint="eastAsia" w:ascii="宋体" w:hAnsi="宋体" w:eastAsia="宋体" w:cs="宋体"/>
                <w:color w:val="000000"/>
                <w:sz w:val="21"/>
                <w:szCs w:val="21"/>
                <w:lang w:eastAsia="zh-CN"/>
              </w:rPr>
              <w:t>康养驿站</w:t>
            </w:r>
            <w:r>
              <w:rPr>
                <w:rFonts w:asciiTheme="minorEastAsia" w:hAnsiTheme="minorEastAsia" w:eastAsiaTheme="minorEastAsia"/>
                <w:sz w:val="21"/>
                <w:szCs w:val="21"/>
                <w:lang w:eastAsia="zh-CN"/>
              </w:rPr>
              <w:t>、民宿、生态停车场改造</w:t>
            </w: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康养驿站总用地面积为</w:t>
            </w:r>
            <w:r>
              <w:rPr>
                <w:rFonts w:ascii="宋体" w:hAnsi="宋体" w:eastAsia="宋体" w:cs="宋体"/>
                <w:color w:val="000000"/>
                <w:sz w:val="21"/>
                <w:szCs w:val="21"/>
                <w:lang w:eastAsia="zh-CN"/>
              </w:rPr>
              <w:t>2168.73㎡，改造总建筑面积901.16㎡，包括驿站主楼改造和公厕改造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shd w:val="clear" w:color="auto" w:fill="auto"/>
            <w:noWrap/>
            <w:vAlign w:val="center"/>
          </w:tcPr>
          <w:p>
            <w:pPr>
              <w:widowControl w:val="0"/>
              <w:spacing w:line="240" w:lineRule="auto"/>
              <w:ind w:firstLine="420"/>
              <w:rPr>
                <w:rFonts w:ascii="宋体" w:hAnsi="宋体" w:eastAsia="宋体" w:cs="宋体"/>
                <w:color w:val="000000"/>
                <w:sz w:val="21"/>
                <w:szCs w:val="21"/>
                <w:lang w:eastAsia="zh-CN"/>
              </w:rPr>
            </w:pP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新建</w:t>
            </w:r>
            <w:r>
              <w:rPr>
                <w:rFonts w:ascii="宋体" w:hAnsi="宋体" w:eastAsia="宋体" w:cs="宋体"/>
                <w:color w:val="000000"/>
                <w:sz w:val="21"/>
                <w:szCs w:val="21"/>
                <w:lang w:eastAsia="zh-CN"/>
              </w:rPr>
              <w:t>108m³消防水池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shd w:val="clear" w:color="auto" w:fill="auto"/>
            <w:noWrap/>
            <w:vAlign w:val="center"/>
          </w:tcPr>
          <w:p>
            <w:pPr>
              <w:widowControl w:val="0"/>
              <w:spacing w:line="240" w:lineRule="auto"/>
              <w:ind w:firstLine="420"/>
              <w:rPr>
                <w:rFonts w:ascii="宋体" w:hAnsi="宋体" w:eastAsia="宋体" w:cs="宋体"/>
                <w:color w:val="000000"/>
                <w:sz w:val="21"/>
                <w:szCs w:val="21"/>
                <w:lang w:eastAsia="zh-CN"/>
              </w:rPr>
            </w:pP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民宿改造</w:t>
            </w:r>
            <w:r>
              <w:rPr>
                <w:rFonts w:ascii="宋体" w:hAnsi="宋体" w:eastAsia="宋体" w:cs="宋体"/>
                <w:color w:val="000000"/>
                <w:sz w:val="21"/>
                <w:szCs w:val="21"/>
                <w:lang w:eastAsia="zh-CN"/>
              </w:rPr>
              <w:t>1226.01㎡，共4家</w:t>
            </w:r>
            <w:r>
              <w:rPr>
                <w:rFonts w:hint="eastAsia" w:ascii="宋体" w:hAnsi="宋体" w:eastAsia="宋体" w:cs="宋体"/>
                <w:color w:val="000000"/>
                <w:sz w:val="21"/>
                <w:szCs w:val="21"/>
                <w:lang w:eastAsia="zh-CN"/>
              </w:rPr>
              <w:t>，新建1家民宿院落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shd w:val="clear" w:color="auto" w:fill="auto"/>
            <w:noWrap/>
            <w:vAlign w:val="center"/>
          </w:tcPr>
          <w:p>
            <w:pPr>
              <w:widowControl w:val="0"/>
              <w:spacing w:line="240" w:lineRule="auto"/>
              <w:ind w:firstLine="420"/>
              <w:rPr>
                <w:rFonts w:ascii="宋体" w:hAnsi="宋体" w:eastAsia="宋体" w:cs="宋体"/>
                <w:color w:val="000000"/>
                <w:sz w:val="21"/>
                <w:szCs w:val="21"/>
                <w:lang w:eastAsia="zh-CN"/>
              </w:rPr>
            </w:pP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改造生态停车场面积</w:t>
            </w:r>
            <w:r>
              <w:rPr>
                <w:rFonts w:ascii="宋体" w:hAnsi="宋体" w:eastAsia="宋体" w:cs="宋体"/>
                <w:color w:val="000000"/>
                <w:sz w:val="21"/>
                <w:szCs w:val="21"/>
                <w:lang w:eastAsia="zh-CN"/>
              </w:rPr>
              <w:t>747.05㎡，拆除原有村委会改造成生态停车场，增加两个60KW充电桩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shd w:val="clear" w:color="auto" w:fill="auto"/>
            <w:noWrap/>
            <w:vAlign w:val="center"/>
          </w:tcPr>
          <w:p>
            <w:pPr>
              <w:widowControl w:val="0"/>
              <w:spacing w:line="240" w:lineRule="auto"/>
              <w:ind w:firstLine="420"/>
              <w:rPr>
                <w:rFonts w:ascii="宋体" w:hAnsi="宋体" w:eastAsia="宋体" w:cs="宋体"/>
                <w:color w:val="000000"/>
                <w:sz w:val="21"/>
                <w:szCs w:val="21"/>
                <w:lang w:eastAsia="zh-CN"/>
              </w:rPr>
            </w:pP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绿化景观改造包括小公园绿化、休闲景观节点、康养驿站、民宿、生态停车场局部改造绿化设计等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vMerge w:val="continue"/>
            <w:shd w:val="clear" w:color="auto" w:fill="auto"/>
            <w:noWrap/>
            <w:vAlign w:val="center"/>
          </w:tcPr>
          <w:p>
            <w:pPr>
              <w:widowControl w:val="0"/>
              <w:spacing w:line="240" w:lineRule="auto"/>
              <w:ind w:firstLine="420"/>
              <w:rPr>
                <w:rFonts w:ascii="宋体" w:hAnsi="宋体" w:eastAsia="宋体" w:cs="宋体"/>
                <w:color w:val="000000"/>
                <w:sz w:val="21"/>
                <w:szCs w:val="21"/>
                <w:lang w:eastAsia="zh-CN"/>
              </w:rPr>
            </w:pP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剧院改造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3" w:type="dxa"/>
            <w:shd w:val="clear" w:color="auto" w:fill="auto"/>
            <w:noWrap/>
            <w:vAlign w:val="center"/>
          </w:tcPr>
          <w:p>
            <w:pPr>
              <w:widowControl w:val="0"/>
              <w:spacing w:line="240" w:lineRule="auto"/>
              <w:ind w:firstLine="0" w:firstLineChars="0"/>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给水污水管网改造</w:t>
            </w:r>
          </w:p>
        </w:tc>
        <w:tc>
          <w:tcPr>
            <w:tcW w:w="6429" w:type="dxa"/>
            <w:shd w:val="clear" w:color="auto" w:fill="auto"/>
            <w:noWrap/>
            <w:vAlign w:val="center"/>
          </w:tcPr>
          <w:p>
            <w:pPr>
              <w:widowControl w:val="0"/>
              <w:spacing w:line="240" w:lineRule="auto"/>
              <w:ind w:firstLine="0" w:firstLineChars="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全村改造给水管网</w:t>
            </w:r>
            <w:r>
              <w:rPr>
                <w:rFonts w:ascii="宋体" w:hAnsi="宋体" w:eastAsia="宋体" w:cs="宋体"/>
                <w:color w:val="000000"/>
                <w:sz w:val="21"/>
                <w:szCs w:val="21"/>
                <w:lang w:eastAsia="zh-CN"/>
              </w:rPr>
              <w:t>3198米，改造污水管2809米，均采用直埋方式敷设。</w:t>
            </w:r>
          </w:p>
        </w:tc>
      </w:tr>
      <w:bookmarkEnd w:id="76"/>
    </w:tbl>
    <w:p>
      <w:pPr>
        <w:widowControl w:val="0"/>
        <w:ind w:firstLine="640"/>
        <w:rPr>
          <w:lang w:eastAsia="zh-CN"/>
        </w:rPr>
      </w:pPr>
      <w:bookmarkStart w:id="77" w:name="_Hlk152493558"/>
      <w:r>
        <w:rPr>
          <w:rFonts w:hint="eastAsia"/>
          <w:lang w:eastAsia="zh-CN"/>
        </w:rPr>
        <w:t>2</w:t>
      </w:r>
      <w:r>
        <w:rPr>
          <w:lang w:eastAsia="zh-CN"/>
        </w:rPr>
        <w:t>022</w:t>
      </w:r>
      <w:r>
        <w:rPr>
          <w:rFonts w:hint="eastAsia"/>
          <w:lang w:eastAsia="zh-CN"/>
        </w:rPr>
        <w:t>年因为疫情影响，和川镇人民政府根据政府采购流程进行招投标，经过</w:t>
      </w:r>
      <w:r>
        <w:rPr>
          <w:lang w:eastAsia="zh-CN"/>
        </w:rPr>
        <w:t>2</w:t>
      </w:r>
      <w:r>
        <w:rPr>
          <w:rFonts w:hint="eastAsia"/>
          <w:lang w:eastAsia="zh-CN"/>
        </w:rPr>
        <w:t>次变更招标公告，于1</w:t>
      </w:r>
      <w:r>
        <w:rPr>
          <w:lang w:eastAsia="zh-CN"/>
        </w:rPr>
        <w:t>0</w:t>
      </w:r>
      <w:r>
        <w:rPr>
          <w:rFonts w:hint="eastAsia"/>
          <w:lang w:eastAsia="zh-CN"/>
        </w:rPr>
        <w:t>月2</w:t>
      </w:r>
      <w:r>
        <w:rPr>
          <w:lang w:eastAsia="zh-CN"/>
        </w:rPr>
        <w:t>8</w:t>
      </w:r>
      <w:r>
        <w:rPr>
          <w:rFonts w:hint="eastAsia"/>
          <w:lang w:eastAsia="zh-CN"/>
        </w:rPr>
        <w:t>日确定山西汇顺建筑工程有限公司为施工单位。于2</w:t>
      </w:r>
      <w:r>
        <w:rPr>
          <w:lang w:eastAsia="zh-CN"/>
        </w:rPr>
        <w:t>022</w:t>
      </w:r>
      <w:r>
        <w:rPr>
          <w:rFonts w:hint="eastAsia"/>
          <w:lang w:eastAsia="zh-CN"/>
        </w:rPr>
        <w:t>年1</w:t>
      </w:r>
      <w:r>
        <w:rPr>
          <w:lang w:eastAsia="zh-CN"/>
        </w:rPr>
        <w:t>1</w:t>
      </w:r>
      <w:r>
        <w:rPr>
          <w:rFonts w:hint="eastAsia"/>
          <w:lang w:eastAsia="zh-CN"/>
        </w:rPr>
        <w:t>月1日与山西汇顺建筑工程有限公司签订合同，约定服务内容为安泽县石渠村乡村振兴示范村建设工程施工项目，建设工期为</w:t>
      </w:r>
      <w:r>
        <w:rPr>
          <w:lang w:eastAsia="zh-CN"/>
        </w:rPr>
        <w:t>90</w:t>
      </w:r>
      <w:r>
        <w:rPr>
          <w:rFonts w:hint="eastAsia"/>
          <w:lang w:eastAsia="zh-CN"/>
        </w:rPr>
        <w:t>天，合同金额为9</w:t>
      </w:r>
      <w:r>
        <w:rPr>
          <w:lang w:eastAsia="zh-CN"/>
        </w:rPr>
        <w:t>79.55</w:t>
      </w:r>
      <w:r>
        <w:rPr>
          <w:rFonts w:hint="eastAsia"/>
          <w:lang w:eastAsia="zh-CN"/>
        </w:rPr>
        <w:t>万元。</w:t>
      </w:r>
    </w:p>
    <w:bookmarkEnd w:id="77"/>
    <w:p>
      <w:pPr>
        <w:pStyle w:val="6"/>
        <w:keepNext w:val="0"/>
        <w:keepLines w:val="0"/>
        <w:widowControl w:val="0"/>
        <w:ind w:firstLine="643"/>
        <w:rPr>
          <w:lang w:eastAsia="zh-CN"/>
        </w:rPr>
      </w:pPr>
      <w:r>
        <w:rPr>
          <w:rFonts w:hint="eastAsia"/>
          <w:lang w:eastAsia="zh-CN"/>
        </w:rPr>
        <w:t>2</w:t>
      </w:r>
      <w:r>
        <w:rPr>
          <w:lang w:eastAsia="zh-CN"/>
        </w:rPr>
        <w:t>.</w:t>
      </w:r>
      <w:r>
        <w:rPr>
          <w:rFonts w:hint="eastAsia"/>
          <w:lang w:eastAsia="zh-CN"/>
        </w:rPr>
        <w:t>项目实施情况。</w:t>
      </w:r>
    </w:p>
    <w:p>
      <w:pPr>
        <w:widowControl w:val="0"/>
        <w:ind w:firstLine="640"/>
        <w:rPr>
          <w:lang w:eastAsia="zh-CN"/>
        </w:rPr>
      </w:pPr>
      <w:r>
        <w:rPr>
          <w:rFonts w:hint="eastAsia"/>
          <w:lang w:eastAsia="zh-CN"/>
        </w:rPr>
        <w:t>项目实际实施包括：（1）石渠村康养驿站改造：康养驿站总用地面积为2</w:t>
      </w:r>
      <w:r>
        <w:rPr>
          <w:lang w:eastAsia="zh-CN"/>
        </w:rPr>
        <w:t>168.73</w:t>
      </w:r>
      <w:r>
        <w:rPr>
          <w:rFonts w:hint="eastAsia"/>
          <w:lang w:eastAsia="zh-CN"/>
        </w:rPr>
        <w:t>㎡，改造总建筑面积9</w:t>
      </w:r>
      <w:r>
        <w:rPr>
          <w:lang w:eastAsia="zh-CN"/>
        </w:rPr>
        <w:t>01.16</w:t>
      </w:r>
      <w:r>
        <w:rPr>
          <w:rFonts w:hint="eastAsia"/>
          <w:lang w:eastAsia="zh-CN"/>
        </w:rPr>
        <w:t>㎡，包括驿站主楼改造和公厕改造；新建1</w:t>
      </w:r>
      <w:r>
        <w:rPr>
          <w:lang w:eastAsia="zh-CN"/>
        </w:rPr>
        <w:t>08</w:t>
      </w:r>
      <w:r>
        <w:rPr>
          <w:rFonts w:hint="eastAsia"/>
          <w:lang w:eastAsia="zh-CN"/>
        </w:rPr>
        <w:t>m³消防水池；民宿改造1</w:t>
      </w:r>
      <w:r>
        <w:rPr>
          <w:lang w:eastAsia="zh-CN"/>
        </w:rPr>
        <w:t>226.01</w:t>
      </w:r>
      <w:r>
        <w:rPr>
          <w:rFonts w:hint="eastAsia"/>
          <w:lang w:eastAsia="zh-CN"/>
        </w:rPr>
        <w:t>㎡，共</w:t>
      </w:r>
      <w:r>
        <w:rPr>
          <w:lang w:eastAsia="zh-CN"/>
        </w:rPr>
        <w:t>4</w:t>
      </w:r>
      <w:r>
        <w:rPr>
          <w:rFonts w:hint="eastAsia"/>
          <w:lang w:eastAsia="zh-CN"/>
        </w:rPr>
        <w:t>家；改造生态停车场面积7</w:t>
      </w:r>
      <w:r>
        <w:rPr>
          <w:lang w:eastAsia="zh-CN"/>
        </w:rPr>
        <w:t>47.05</w:t>
      </w:r>
      <w:r>
        <w:rPr>
          <w:rFonts w:hint="eastAsia"/>
          <w:lang w:eastAsia="zh-CN"/>
        </w:rPr>
        <w:t>㎡，拆除原有村委会改造成生态停车场。（2）人居环境改善：绿化景观改造包括小公园绿化、休闲景观节点、康养驿站、民宿、生态停车场局部改造绿化设计等（3）</w:t>
      </w:r>
      <w:r>
        <w:rPr>
          <w:lang w:eastAsia="zh-CN"/>
        </w:rPr>
        <w:t>给水污水管网改造</w:t>
      </w:r>
      <w:r>
        <w:rPr>
          <w:rFonts w:hint="eastAsia"/>
          <w:lang w:eastAsia="zh-CN"/>
        </w:rPr>
        <w:t>：全村改造给水管网3</w:t>
      </w:r>
      <w:r>
        <w:rPr>
          <w:lang w:eastAsia="zh-CN"/>
        </w:rPr>
        <w:t>198</w:t>
      </w:r>
      <w:r>
        <w:rPr>
          <w:rFonts w:hint="eastAsia"/>
          <w:lang w:eastAsia="zh-CN"/>
        </w:rPr>
        <w:t>米，改造污水管2</w:t>
      </w:r>
      <w:r>
        <w:rPr>
          <w:lang w:eastAsia="zh-CN"/>
        </w:rPr>
        <w:t>809</w:t>
      </w:r>
      <w:r>
        <w:rPr>
          <w:rFonts w:hint="eastAsia"/>
          <w:lang w:eastAsia="zh-CN"/>
        </w:rPr>
        <w:t>米，均采用直埋方式敷设。（4）拆除并新增段龙虎民宿。项目实际从2</w:t>
      </w:r>
      <w:r>
        <w:rPr>
          <w:lang w:eastAsia="zh-CN"/>
        </w:rPr>
        <w:t>022</w:t>
      </w:r>
      <w:r>
        <w:rPr>
          <w:rFonts w:hint="eastAsia"/>
          <w:lang w:eastAsia="zh-CN"/>
        </w:rPr>
        <w:t>年1</w:t>
      </w:r>
      <w:r>
        <w:rPr>
          <w:lang w:eastAsia="zh-CN"/>
        </w:rPr>
        <w:t>1</w:t>
      </w:r>
      <w:r>
        <w:rPr>
          <w:rFonts w:hint="eastAsia"/>
          <w:lang w:eastAsia="zh-CN"/>
        </w:rPr>
        <w:t>月2日首次开工，于2</w:t>
      </w:r>
      <w:r>
        <w:rPr>
          <w:lang w:eastAsia="zh-CN"/>
        </w:rPr>
        <w:t>023</w:t>
      </w:r>
      <w:r>
        <w:rPr>
          <w:rFonts w:hint="eastAsia"/>
          <w:lang w:eastAsia="zh-CN"/>
        </w:rPr>
        <w:t>年1月2</w:t>
      </w:r>
      <w:r>
        <w:rPr>
          <w:lang w:eastAsia="zh-CN"/>
        </w:rPr>
        <w:t>0</w:t>
      </w:r>
      <w:r>
        <w:rPr>
          <w:rFonts w:hint="eastAsia"/>
          <w:lang w:eastAsia="zh-CN"/>
        </w:rPr>
        <w:t>日完工，并在2</w:t>
      </w:r>
      <w:r>
        <w:rPr>
          <w:lang w:eastAsia="zh-CN"/>
        </w:rPr>
        <w:t>023</w:t>
      </w:r>
      <w:r>
        <w:rPr>
          <w:rFonts w:hint="eastAsia"/>
          <w:lang w:eastAsia="zh-CN"/>
        </w:rPr>
        <w:t>年1月</w:t>
      </w:r>
      <w:r>
        <w:rPr>
          <w:lang w:eastAsia="zh-CN"/>
        </w:rPr>
        <w:t>20</w:t>
      </w:r>
      <w:r>
        <w:rPr>
          <w:rFonts w:hint="eastAsia"/>
          <w:lang w:eastAsia="zh-CN"/>
        </w:rPr>
        <w:t>日经监理单位、施工单位、和川镇人民政府三方验收，出具竣工验收报告。</w:t>
      </w:r>
    </w:p>
    <w:p>
      <w:pPr>
        <w:widowControl w:val="0"/>
        <w:ind w:firstLine="643"/>
        <w:rPr>
          <w:b/>
          <w:bCs/>
          <w:lang w:eastAsia="zh-CN"/>
        </w:rPr>
      </w:pPr>
      <w:bookmarkStart w:id="78" w:name="_Toc97086040"/>
      <w:r>
        <w:rPr>
          <w:b/>
          <w:bCs/>
          <w:lang w:eastAsia="zh-CN"/>
        </w:rPr>
        <w:t>3</w:t>
      </w:r>
      <w:r>
        <w:rPr>
          <w:rFonts w:hint="eastAsia"/>
          <w:b/>
          <w:bCs/>
          <w:lang w:eastAsia="zh-CN"/>
        </w:rPr>
        <w:t>.项目组织管理。</w:t>
      </w:r>
      <w:bookmarkEnd w:id="78"/>
    </w:p>
    <w:p>
      <w:pPr>
        <w:widowControl w:val="0"/>
        <w:ind w:firstLine="640"/>
        <w:rPr>
          <w:lang w:eastAsia="zh-CN"/>
        </w:rPr>
      </w:pPr>
      <w:bookmarkStart w:id="79" w:name="_Hlk152835530"/>
      <w:r>
        <w:rPr>
          <w:rFonts w:hint="eastAsia"/>
          <w:lang w:eastAsia="zh-CN"/>
        </w:rPr>
        <w:t>本项目财政归口管理部门为</w:t>
      </w:r>
      <w:r>
        <w:rPr>
          <w:lang w:eastAsia="zh-CN"/>
        </w:rPr>
        <w:t>安泽县财政局预算股</w:t>
      </w:r>
      <w:r>
        <w:rPr>
          <w:rFonts w:hint="eastAsia"/>
          <w:lang w:eastAsia="zh-CN"/>
        </w:rPr>
        <w:t>，主管部门为和川镇人民政府，实施单位</w:t>
      </w:r>
      <w:r>
        <w:rPr>
          <w:lang w:eastAsia="zh-CN"/>
        </w:rPr>
        <w:t>为</w:t>
      </w:r>
      <w:r>
        <w:rPr>
          <w:rFonts w:hint="eastAsia"/>
          <w:lang w:eastAsia="zh-CN"/>
        </w:rPr>
        <w:t>和川镇人民政府，建设施工单位为山西汇顺建筑工程有限公司。</w:t>
      </w:r>
    </w:p>
    <w:bookmarkEnd w:id="79"/>
    <w:p>
      <w:pPr>
        <w:widowControl w:val="0"/>
        <w:ind w:firstLine="640"/>
        <w:rPr>
          <w:lang w:eastAsia="zh-CN"/>
        </w:rPr>
      </w:pPr>
      <w:r>
        <w:rPr>
          <w:lang w:eastAsia="zh-CN"/>
        </w:rPr>
        <w:t>安泽县财政局：</w:t>
      </w:r>
      <w:r>
        <w:rPr>
          <w:rFonts w:hint="eastAsia"/>
          <w:lang w:eastAsia="zh-CN"/>
        </w:rPr>
        <w:t>负责资金预算审核、拨付、监督管理，对项目资金组织绩效评价等。</w:t>
      </w:r>
    </w:p>
    <w:p>
      <w:pPr>
        <w:widowControl w:val="0"/>
        <w:ind w:firstLine="640"/>
        <w:rPr>
          <w:lang w:eastAsia="zh-CN"/>
        </w:rPr>
      </w:pPr>
      <w:bookmarkStart w:id="80" w:name="_Hlk152835549"/>
      <w:r>
        <w:rPr>
          <w:rFonts w:hint="eastAsia"/>
          <w:lang w:eastAsia="zh-CN"/>
        </w:rPr>
        <w:t>安泽县和川镇人民政府</w:t>
      </w:r>
      <w:r>
        <w:rPr>
          <w:lang w:eastAsia="zh-CN"/>
        </w:rPr>
        <w:t>：</w:t>
      </w:r>
      <w:r>
        <w:rPr>
          <w:rFonts w:hint="eastAsia"/>
          <w:lang w:eastAsia="zh-CN"/>
        </w:rPr>
        <w:t>全面统筹协调石渠村乡村振兴示范村建设项目，管理项目财政补助资金，做好项目实施和管理工作</w:t>
      </w:r>
      <w:r>
        <w:rPr>
          <w:lang w:eastAsia="zh-CN"/>
        </w:rPr>
        <w:t>；</w:t>
      </w:r>
      <w:r>
        <w:rPr>
          <w:rFonts w:hint="eastAsia"/>
          <w:lang w:eastAsia="zh-CN"/>
        </w:rPr>
        <w:t>编制项目预算，严格落实涉农整合资金管理办法和资金分配</w:t>
      </w:r>
      <w:r>
        <w:rPr>
          <w:lang w:eastAsia="zh-CN"/>
        </w:rPr>
        <w:t>；</w:t>
      </w:r>
      <w:r>
        <w:rPr>
          <w:rFonts w:hint="eastAsia"/>
          <w:lang w:eastAsia="zh-CN"/>
        </w:rPr>
        <w:t>牵头组织改善农村人居环境，统筹指导村庄整治，村容村貌提升，负责美丽乡村建设指导工作。</w:t>
      </w:r>
    </w:p>
    <w:bookmarkEnd w:id="80"/>
    <w:p>
      <w:pPr>
        <w:widowControl w:val="0"/>
        <w:ind w:firstLine="640"/>
        <w:rPr>
          <w:lang w:eastAsia="zh-CN"/>
        </w:rPr>
      </w:pPr>
      <w:bookmarkStart w:id="81" w:name="_Hlk152835589"/>
      <w:r>
        <w:rPr>
          <w:rFonts w:hint="eastAsia"/>
          <w:lang w:eastAsia="zh-CN"/>
        </w:rPr>
        <w:t>建设施工单位：负责施工合同约定的具体建设内容，在规定的合同期限内，保质保量的完成合同工程量。</w:t>
      </w:r>
    </w:p>
    <w:bookmarkEnd w:id="81"/>
    <w:p>
      <w:pPr>
        <w:widowControl w:val="0"/>
        <w:ind w:firstLine="640"/>
        <w:rPr>
          <w:lang w:eastAsia="zh-CN"/>
        </w:rPr>
      </w:pPr>
      <w:bookmarkStart w:id="82" w:name="_Hlk152835607"/>
      <w:r>
        <w:rPr>
          <w:rFonts w:hint="eastAsia"/>
          <w:lang w:eastAsia="zh-CN"/>
        </w:rPr>
        <w:t>根据《安泽县财政局 安泽县乡村振兴局关于下达2</w:t>
      </w:r>
      <w:r>
        <w:rPr>
          <w:lang w:eastAsia="zh-CN"/>
        </w:rPr>
        <w:t>022</w:t>
      </w:r>
      <w:r>
        <w:rPr>
          <w:rFonts w:hint="eastAsia"/>
          <w:lang w:eastAsia="zh-CN"/>
        </w:rPr>
        <w:t>年第二批统筹整合资金的通知》（安财农〔20</w:t>
      </w:r>
      <w:r>
        <w:rPr>
          <w:lang w:eastAsia="zh-CN"/>
        </w:rPr>
        <w:t>22</w:t>
      </w:r>
      <w:r>
        <w:rPr>
          <w:rFonts w:hint="eastAsia"/>
          <w:lang w:eastAsia="zh-CN"/>
        </w:rPr>
        <w:t>〕1</w:t>
      </w:r>
      <w:r>
        <w:rPr>
          <w:lang w:eastAsia="zh-CN"/>
        </w:rPr>
        <w:t>13</w:t>
      </w:r>
      <w:r>
        <w:rPr>
          <w:rFonts w:hint="eastAsia"/>
          <w:lang w:eastAsia="zh-CN"/>
        </w:rPr>
        <w:t>号）、《安泽县财政局 安泽县乡村振兴局关于下达2</w:t>
      </w:r>
      <w:r>
        <w:rPr>
          <w:lang w:eastAsia="zh-CN"/>
        </w:rPr>
        <w:t>022</w:t>
      </w:r>
      <w:r>
        <w:rPr>
          <w:rFonts w:hint="eastAsia"/>
          <w:lang w:eastAsia="zh-CN"/>
        </w:rPr>
        <w:t>年第二批统筹整合资金的通知》（安财农〔20</w:t>
      </w:r>
      <w:r>
        <w:rPr>
          <w:lang w:eastAsia="zh-CN"/>
        </w:rPr>
        <w:t>22</w:t>
      </w:r>
      <w:r>
        <w:rPr>
          <w:rFonts w:hint="eastAsia"/>
          <w:lang w:eastAsia="zh-CN"/>
        </w:rPr>
        <w:t>〕1</w:t>
      </w:r>
      <w:r>
        <w:rPr>
          <w:lang w:eastAsia="zh-CN"/>
        </w:rPr>
        <w:t>18</w:t>
      </w:r>
      <w:r>
        <w:rPr>
          <w:rFonts w:hint="eastAsia"/>
          <w:lang w:eastAsia="zh-CN"/>
        </w:rPr>
        <w:t>号）文件，</w:t>
      </w:r>
      <w:bookmarkEnd w:id="82"/>
      <w:r>
        <w:rPr>
          <w:rFonts w:hint="eastAsia"/>
          <w:lang w:eastAsia="zh-CN"/>
        </w:rPr>
        <w:t>确定统筹整合资金1</w:t>
      </w:r>
      <w:r>
        <w:rPr>
          <w:lang w:eastAsia="zh-CN"/>
        </w:rPr>
        <w:t>250</w:t>
      </w:r>
      <w:r>
        <w:rPr>
          <w:rFonts w:hint="eastAsia"/>
          <w:lang w:eastAsia="zh-CN"/>
        </w:rPr>
        <w:t>万元，安泽县财政局分基础设施项目和产业项目分别下达补助资金给和川镇人民政府，和川镇人民政府公开招标确定施工单位，在工程验收合格后将补助资金结算给施工单位。</w:t>
      </w:r>
      <w:r>
        <w:rPr>
          <w:lang w:eastAsia="zh-CN"/>
        </w:rPr>
        <w:t>石渠村乡村振兴示范村建设项目实施过程及资金支付管理流程图见图</w:t>
      </w:r>
      <w:r>
        <w:rPr>
          <w:rFonts w:hint="eastAsia"/>
          <w:lang w:eastAsia="zh-CN"/>
        </w:rPr>
        <w:t>1-1。</w:t>
      </w:r>
    </w:p>
    <w:p>
      <w:pPr>
        <w:widowControl w:val="0"/>
        <w:ind w:firstLine="560"/>
        <w:jc w:val="center"/>
      </w:pPr>
      <w:r>
        <w:rPr>
          <w:rFonts w:ascii="仿宋_GB2312" w:hAnsi="Times New Roman" w:eastAsia="仿宋_GB2312" w:cs="宋体"/>
          <w:sz w:val="28"/>
          <w:szCs w:val="28"/>
          <w:lang w:eastAsia="zh-CN"/>
        </w:rPr>
        <w:drawing>
          <wp:inline distT="0" distB="0" distL="0" distR="0">
            <wp:extent cx="1638300" cy="2407285"/>
            <wp:effectExtent l="0" t="0" r="0" b="0"/>
            <wp:docPr id="938099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99010" name="图片 1"/>
                    <pic:cNvPicPr>
                      <a:picLocks noChangeAspect="1"/>
                    </pic:cNvPicPr>
                  </pic:nvPicPr>
                  <pic:blipFill>
                    <a:blip r:embed="rId13"/>
                    <a:stretch>
                      <a:fillRect/>
                    </a:stretch>
                  </pic:blipFill>
                  <pic:spPr>
                    <a:xfrm>
                      <a:off x="0" y="0"/>
                      <a:ext cx="1643603" cy="2415208"/>
                    </a:xfrm>
                    <a:prstGeom prst="rect">
                      <a:avLst/>
                    </a:prstGeom>
                  </pic:spPr>
                </pic:pic>
              </a:graphicData>
            </a:graphic>
          </wp:inline>
        </w:drawing>
      </w:r>
    </w:p>
    <w:p>
      <w:pPr>
        <w:widowControl w:val="0"/>
        <w:ind w:firstLine="420"/>
        <w:jc w:val="center"/>
        <w:rPr>
          <w:lang w:eastAsia="zh-CN"/>
        </w:rPr>
      </w:pPr>
      <w:r>
        <w:rPr>
          <w:rFonts w:hint="eastAsia" w:ascii="黑体" w:hAnsi="黑体" w:eastAsia="黑体" w:cs="黑体"/>
          <w:sz w:val="21"/>
          <w:szCs w:val="21"/>
          <w:lang w:eastAsia="zh-CN"/>
        </w:rPr>
        <w:t>图1-1 项目资金管理流程图</w:t>
      </w:r>
    </w:p>
    <w:p>
      <w:pPr>
        <w:pStyle w:val="4"/>
        <w:keepNext w:val="0"/>
        <w:keepLines w:val="0"/>
        <w:widowControl w:val="0"/>
        <w:ind w:firstLine="640"/>
        <w:rPr>
          <w:lang w:eastAsia="zh-CN"/>
        </w:rPr>
      </w:pPr>
      <w:r>
        <w:rPr>
          <w:lang w:eastAsia="zh-CN"/>
        </w:rPr>
        <w:t>二、绩效评价工作开展情况</w:t>
      </w:r>
      <w:bookmarkEnd w:id="62"/>
    </w:p>
    <w:p>
      <w:pPr>
        <w:pStyle w:val="5"/>
        <w:keepNext w:val="0"/>
        <w:keepLines w:val="0"/>
        <w:widowControl w:val="0"/>
        <w:ind w:firstLine="643"/>
        <w:rPr>
          <w:lang w:eastAsia="zh-CN"/>
        </w:rPr>
      </w:pPr>
      <w:bookmarkStart w:id="83" w:name="_Toc97086045"/>
      <w:r>
        <w:rPr>
          <w:lang w:eastAsia="zh-CN"/>
        </w:rPr>
        <w:t>（一）绩效评价目的</w:t>
      </w:r>
      <w:bookmarkEnd w:id="83"/>
      <w:bookmarkStart w:id="84" w:name="_Hlk152840375"/>
      <w:bookmarkStart w:id="85" w:name="_Hlk152853800"/>
      <w:r>
        <w:rPr>
          <w:rFonts w:hint="eastAsia"/>
          <w:lang w:eastAsia="zh-CN"/>
        </w:rPr>
        <w:t>、对象、范围</w:t>
      </w:r>
      <w:bookmarkEnd w:id="84"/>
    </w:p>
    <w:bookmarkEnd w:id="85"/>
    <w:p>
      <w:pPr>
        <w:pStyle w:val="6"/>
        <w:keepNext w:val="0"/>
        <w:keepLines w:val="0"/>
        <w:widowControl w:val="0"/>
        <w:ind w:firstLine="643"/>
        <w:rPr>
          <w:lang w:eastAsia="zh-CN"/>
        </w:rPr>
      </w:pPr>
      <w:bookmarkStart w:id="86" w:name="_Toc97086046"/>
      <w:bookmarkStart w:id="87" w:name="_Toc91979625"/>
      <w:bookmarkStart w:id="88" w:name="_Toc96054837"/>
      <w:r>
        <w:rPr>
          <w:rFonts w:hint="eastAsia"/>
          <w:lang w:eastAsia="zh-CN"/>
        </w:rPr>
        <w:t>1.评价目的。</w:t>
      </w:r>
      <w:bookmarkEnd w:id="86"/>
      <w:bookmarkEnd w:id="87"/>
      <w:bookmarkEnd w:id="88"/>
    </w:p>
    <w:p>
      <w:pPr>
        <w:widowControl w:val="0"/>
        <w:ind w:firstLine="640"/>
        <w:rPr>
          <w:lang w:eastAsia="zh-CN"/>
        </w:rPr>
      </w:pPr>
      <w:bookmarkStart w:id="89" w:name="_Toc97086047"/>
      <w:bookmarkStart w:id="90" w:name="_Toc91979628"/>
      <w:bookmarkStart w:id="91" w:name="_Toc96054838"/>
      <w:r>
        <w:rPr>
          <w:lang w:eastAsia="zh-CN"/>
        </w:rPr>
        <w:t>围绕2023年度财政中心工作，按照全面实施预算绩效管理要求，依据设定的绩效目标，遵循规范的评价程序，用科学合理的绩效评价指标、评价标准和方法，对选定的重点财政支出项目及政策进行绩效评价，全面反映预算资金的经济性、效率性、效益性和公平性。通过对</w:t>
      </w:r>
      <w:r>
        <w:rPr>
          <w:rFonts w:hint="eastAsia"/>
          <w:lang w:eastAsia="zh-CN"/>
        </w:rPr>
        <w:t>石渠村乡村振兴示范村建设项目预算</w:t>
      </w:r>
      <w:r>
        <w:rPr>
          <w:lang w:eastAsia="zh-CN"/>
        </w:rPr>
        <w:t>安排情况、各类支出的开展情况、监督管理情况、资金拨付情况及使用情况等方面内容展开分析，同时考核项目实施过程中可能存在的问题或者风险点，利用</w:t>
      </w:r>
      <w:r>
        <w:rPr>
          <w:rFonts w:hint="eastAsia"/>
          <w:lang w:eastAsia="zh-CN"/>
        </w:rPr>
        <w:t>科学合理的评价标准和方法对</w:t>
      </w:r>
      <w:r>
        <w:rPr>
          <w:lang w:eastAsia="zh-CN"/>
        </w:rPr>
        <w:t>石渠村乡村振兴示范村建设项目</w:t>
      </w:r>
      <w:r>
        <w:rPr>
          <w:rFonts w:hint="eastAsia"/>
          <w:lang w:eastAsia="zh-CN"/>
        </w:rPr>
        <w:t>支出进行评价</w:t>
      </w:r>
      <w:r>
        <w:rPr>
          <w:lang w:eastAsia="zh-CN"/>
        </w:rPr>
        <w:t>，</w:t>
      </w:r>
      <w:r>
        <w:rPr>
          <w:rFonts w:hint="eastAsia"/>
          <w:lang w:eastAsia="zh-CN"/>
        </w:rPr>
        <w:t>及时发现问题，总结经验，提出改进意见和建议，为安排预算提供参考，强化部门（单位）的支出责任，提高预算管理水平和财政资金使用效益。</w:t>
      </w:r>
    </w:p>
    <w:p>
      <w:pPr>
        <w:pStyle w:val="6"/>
        <w:keepNext w:val="0"/>
        <w:keepLines w:val="0"/>
        <w:widowControl w:val="0"/>
        <w:ind w:firstLine="643"/>
        <w:rPr>
          <w:lang w:eastAsia="zh-CN"/>
        </w:rPr>
      </w:pPr>
      <w:r>
        <w:rPr>
          <w:rFonts w:hint="eastAsia"/>
          <w:lang w:eastAsia="zh-CN"/>
        </w:rPr>
        <w:t>2.</w:t>
      </w:r>
      <w:r>
        <w:rPr>
          <w:lang w:eastAsia="zh-CN"/>
        </w:rPr>
        <w:t>评价对象</w:t>
      </w:r>
      <w:r>
        <w:rPr>
          <w:rFonts w:hint="eastAsia"/>
          <w:lang w:eastAsia="zh-CN"/>
        </w:rPr>
        <w:t>。</w:t>
      </w:r>
      <w:bookmarkEnd w:id="89"/>
      <w:bookmarkEnd w:id="90"/>
      <w:bookmarkEnd w:id="91"/>
    </w:p>
    <w:p>
      <w:pPr>
        <w:widowControl w:val="0"/>
        <w:ind w:firstLine="640"/>
        <w:rPr>
          <w:rFonts w:cs="仿宋"/>
          <w:lang w:eastAsia="zh-CN"/>
        </w:rPr>
      </w:pPr>
      <w:bookmarkStart w:id="92" w:name="_Toc96054839"/>
      <w:bookmarkStart w:id="93" w:name="_Toc91979629"/>
      <w:bookmarkStart w:id="94" w:name="_Toc97086048"/>
      <w:r>
        <w:rPr>
          <w:rFonts w:hint="eastAsia" w:cs="仿宋"/>
          <w:lang w:eastAsia="zh-CN"/>
        </w:rPr>
        <w:t>拨付使用于石渠村乡村振兴示范村建设项目的财政预算资金。</w:t>
      </w:r>
    </w:p>
    <w:p>
      <w:pPr>
        <w:pStyle w:val="6"/>
        <w:keepNext w:val="0"/>
        <w:keepLines w:val="0"/>
        <w:widowControl w:val="0"/>
        <w:ind w:firstLine="643"/>
        <w:rPr>
          <w:lang w:eastAsia="zh-CN"/>
        </w:rPr>
      </w:pPr>
      <w:r>
        <w:rPr>
          <w:rFonts w:hint="eastAsia"/>
          <w:lang w:eastAsia="zh-CN"/>
        </w:rPr>
        <w:t>3.</w:t>
      </w:r>
      <w:r>
        <w:rPr>
          <w:lang w:eastAsia="zh-CN"/>
        </w:rPr>
        <w:t>评价范围</w:t>
      </w:r>
      <w:r>
        <w:rPr>
          <w:rFonts w:hint="eastAsia"/>
          <w:lang w:eastAsia="zh-CN"/>
        </w:rPr>
        <w:t>。</w:t>
      </w:r>
      <w:bookmarkEnd w:id="92"/>
      <w:bookmarkEnd w:id="93"/>
      <w:bookmarkEnd w:id="94"/>
    </w:p>
    <w:p>
      <w:pPr>
        <w:widowControl w:val="0"/>
        <w:ind w:firstLine="640"/>
        <w:rPr>
          <w:rFonts w:cs="仿宋"/>
          <w:lang w:eastAsia="zh-CN"/>
        </w:rPr>
      </w:pPr>
      <w:bookmarkStart w:id="95" w:name="_Toc91979631"/>
      <w:bookmarkStart w:id="96" w:name="_Toc96054840"/>
      <w:bookmarkStart w:id="97" w:name="_Toc97086049"/>
      <w:r>
        <w:rPr>
          <w:rFonts w:hint="eastAsia" w:cs="仿宋"/>
          <w:lang w:eastAsia="zh-CN"/>
        </w:rPr>
        <w:t>该项绩效评价工作的范围为石渠村乡村振兴示范村建设项目，该项目涉及预算资金</w:t>
      </w:r>
      <w:r>
        <w:rPr>
          <w:rFonts w:cs="仿宋"/>
          <w:lang w:eastAsia="zh-CN"/>
        </w:rPr>
        <w:t>1250</w:t>
      </w:r>
      <w:r>
        <w:rPr>
          <w:rFonts w:hint="eastAsia" w:cs="仿宋"/>
          <w:lang w:eastAsia="zh-CN"/>
        </w:rPr>
        <w:t>万元，来源于省、县二级资金，</w:t>
      </w:r>
      <w:r>
        <w:rPr>
          <w:rFonts w:hint="eastAsia"/>
          <w:lang w:eastAsia="zh-CN"/>
        </w:rPr>
        <w:t>其中省级资金5</w:t>
      </w:r>
      <w:r>
        <w:rPr>
          <w:lang w:eastAsia="zh-CN"/>
        </w:rPr>
        <w:t>00</w:t>
      </w:r>
      <w:r>
        <w:rPr>
          <w:rFonts w:hint="eastAsia"/>
          <w:lang w:eastAsia="zh-CN"/>
        </w:rPr>
        <w:t>万元，县级资金7</w:t>
      </w:r>
      <w:r>
        <w:rPr>
          <w:lang w:eastAsia="zh-CN"/>
        </w:rPr>
        <w:t>50</w:t>
      </w:r>
      <w:r>
        <w:rPr>
          <w:rFonts w:hint="eastAsia"/>
          <w:lang w:eastAsia="zh-CN"/>
        </w:rPr>
        <w:t>万元，</w:t>
      </w:r>
      <w:r>
        <w:rPr>
          <w:rFonts w:hint="eastAsia" w:cs="仿宋"/>
          <w:lang w:eastAsia="zh-CN"/>
        </w:rPr>
        <w:t>资金主要用于石渠村乡村振兴示范村建设。项目期限为</w:t>
      </w:r>
      <w:r>
        <w:rPr>
          <w:rFonts w:cs="仿宋"/>
          <w:lang w:eastAsia="zh-CN"/>
        </w:rPr>
        <w:t>90</w:t>
      </w:r>
      <w:r>
        <w:rPr>
          <w:rFonts w:hint="eastAsia" w:cs="仿宋"/>
          <w:lang w:eastAsia="zh-CN"/>
        </w:rPr>
        <w:t>天。</w:t>
      </w:r>
    </w:p>
    <w:bookmarkEnd w:id="95"/>
    <w:bookmarkEnd w:id="96"/>
    <w:bookmarkEnd w:id="97"/>
    <w:p>
      <w:pPr>
        <w:pStyle w:val="5"/>
        <w:keepNext w:val="0"/>
        <w:keepLines w:val="0"/>
        <w:widowControl w:val="0"/>
        <w:ind w:firstLine="643"/>
        <w:rPr>
          <w:lang w:eastAsia="zh-CN"/>
        </w:rPr>
      </w:pPr>
      <w:bookmarkStart w:id="98" w:name="_Toc97086051"/>
      <w:bookmarkStart w:id="99" w:name="_Toc90476555"/>
      <w:r>
        <w:rPr>
          <w:lang w:eastAsia="zh-CN"/>
        </w:rPr>
        <w:t>（</w:t>
      </w:r>
      <w:bookmarkStart w:id="100" w:name="_Hlk152840403"/>
      <w:r>
        <w:rPr>
          <w:rFonts w:hint="eastAsia"/>
          <w:lang w:eastAsia="zh-CN"/>
        </w:rPr>
        <w:t>二</w:t>
      </w:r>
      <w:r>
        <w:rPr>
          <w:lang w:eastAsia="zh-CN"/>
        </w:rPr>
        <w:t>）</w:t>
      </w:r>
      <w:bookmarkStart w:id="101" w:name="_Hlk152853836"/>
      <w:r>
        <w:rPr>
          <w:rFonts w:hint="eastAsia"/>
          <w:lang w:eastAsia="zh-CN"/>
        </w:rPr>
        <w:t>绩效评价</w:t>
      </w:r>
      <w:bookmarkEnd w:id="98"/>
      <w:bookmarkEnd w:id="99"/>
      <w:r>
        <w:rPr>
          <w:rFonts w:hint="eastAsia"/>
          <w:lang w:eastAsia="zh-CN"/>
        </w:rPr>
        <w:t>原则、评价指标体系、评价方法</w:t>
      </w:r>
      <w:bookmarkEnd w:id="100"/>
      <w:r>
        <w:rPr>
          <w:rFonts w:hint="eastAsia"/>
          <w:lang w:eastAsia="zh-CN"/>
        </w:rPr>
        <w:t>、评价标准</w:t>
      </w:r>
    </w:p>
    <w:bookmarkEnd w:id="101"/>
    <w:p>
      <w:pPr>
        <w:pStyle w:val="6"/>
        <w:keepNext w:val="0"/>
        <w:keepLines w:val="0"/>
        <w:widowControl w:val="0"/>
        <w:ind w:firstLine="643"/>
        <w:rPr>
          <w:rFonts w:ascii="仿宋_GB2312" w:hAnsi="仿宋_GB2312" w:eastAsia="仿宋_GB2312" w:cs="仿宋_GB2312"/>
          <w:lang w:eastAsia="zh-CN"/>
        </w:rPr>
      </w:pPr>
      <w:bookmarkStart w:id="102" w:name="_Toc97086053"/>
      <w:bookmarkStart w:id="103" w:name="_Toc96054844"/>
      <w:bookmarkStart w:id="104" w:name="_Toc96054843"/>
      <w:bookmarkStart w:id="105" w:name="_Toc97086052"/>
      <w:bookmarkStart w:id="106" w:name="_Toc91979635"/>
      <w:r>
        <w:rPr>
          <w:lang w:eastAsia="zh-CN"/>
        </w:rPr>
        <w:t>1</w:t>
      </w:r>
      <w:r>
        <w:rPr>
          <w:rFonts w:hint="eastAsia"/>
          <w:lang w:eastAsia="zh-CN"/>
        </w:rPr>
        <w:t>.</w:t>
      </w:r>
      <w:r>
        <w:rPr>
          <w:lang w:eastAsia="zh-CN"/>
        </w:rPr>
        <w:t>评价原则</w:t>
      </w:r>
      <w:r>
        <w:rPr>
          <w:rFonts w:hint="eastAsia"/>
          <w:lang w:eastAsia="zh-CN"/>
        </w:rPr>
        <w:t>。</w:t>
      </w:r>
    </w:p>
    <w:p>
      <w:pPr>
        <w:widowControl w:val="0"/>
        <w:ind w:firstLine="640"/>
        <w:rPr>
          <w:lang w:eastAsia="zh-CN"/>
        </w:rPr>
      </w:pPr>
      <w:r>
        <w:rPr>
          <w:rFonts w:hint="eastAsia"/>
          <w:lang w:eastAsia="zh-CN"/>
        </w:rPr>
        <w:t>（1）</w:t>
      </w:r>
      <w:r>
        <w:rPr>
          <w:lang w:eastAsia="zh-CN"/>
        </w:rPr>
        <w:t>科学公正。绩效评价应当运用科学合理的方法，按照规范的程序，对项目绩效进行客观、公正的反映。</w:t>
      </w:r>
    </w:p>
    <w:p>
      <w:pPr>
        <w:widowControl w:val="0"/>
        <w:ind w:firstLine="640"/>
        <w:rPr>
          <w:lang w:eastAsia="zh-CN"/>
        </w:rPr>
      </w:pPr>
      <w:r>
        <w:rPr>
          <w:rFonts w:hint="eastAsia" w:cs="仿宋"/>
          <w:lang w:eastAsia="zh-CN"/>
        </w:rPr>
        <w:t>本次评价根据相关文件并结合安泽县和川镇人民政府项目资金实际使用情况，对项目实施单位进行评价，对项目执行情况进行分析，综合得出结论。</w:t>
      </w:r>
    </w:p>
    <w:p>
      <w:pPr>
        <w:widowControl w:val="0"/>
        <w:ind w:firstLine="640"/>
        <w:rPr>
          <w:lang w:eastAsia="zh-CN"/>
        </w:rPr>
      </w:pPr>
      <w:r>
        <w:rPr>
          <w:rFonts w:hint="eastAsia"/>
          <w:lang w:eastAsia="zh-CN"/>
        </w:rPr>
        <w:t>（2）</w:t>
      </w:r>
      <w:r>
        <w:rPr>
          <w:lang w:eastAsia="zh-CN"/>
        </w:rPr>
        <w:t>统筹兼顾。财政评价应职责明确，各有侧重，相互衔接。</w:t>
      </w:r>
    </w:p>
    <w:p>
      <w:pPr>
        <w:widowControl w:val="0"/>
        <w:ind w:firstLine="640"/>
        <w:rPr>
          <w:rFonts w:cs="仿宋"/>
          <w:lang w:eastAsia="zh-CN"/>
        </w:rPr>
      </w:pPr>
      <w:r>
        <w:rPr>
          <w:rFonts w:hint="eastAsia" w:cs="仿宋"/>
          <w:lang w:eastAsia="zh-CN"/>
        </w:rPr>
        <w:t>本次评价结合安泽县和川镇人民政府自评结果，开展了财政重点项目绩效评价，为了确保绩效评价独立、客观、公正，避免存在绩效自评不实、得分虚高的情况，第三方机构依据预算绩效管理相关文件要求组织开展本次绩效评价工作。</w:t>
      </w:r>
    </w:p>
    <w:p>
      <w:pPr>
        <w:widowControl w:val="0"/>
        <w:ind w:firstLine="640"/>
        <w:rPr>
          <w:lang w:eastAsia="zh-CN"/>
        </w:rPr>
      </w:pPr>
      <w:r>
        <w:rPr>
          <w:rFonts w:hint="eastAsia"/>
          <w:lang w:eastAsia="zh-CN"/>
        </w:rPr>
        <w:t>（3）</w:t>
      </w:r>
      <w:r>
        <w:rPr>
          <w:lang w:eastAsia="zh-CN"/>
        </w:rPr>
        <w:t>激励约束。绩效评价结果应与预算安排、政策调整、改进管理实质性挂钩，体现奖优罚劣和激励相容导向，有效要安排、低效要压减、无效要问责。</w:t>
      </w:r>
    </w:p>
    <w:p>
      <w:pPr>
        <w:widowControl w:val="0"/>
        <w:ind w:firstLine="640"/>
        <w:rPr>
          <w:rFonts w:cs="仿宋"/>
          <w:lang w:eastAsia="zh-CN"/>
        </w:rPr>
      </w:pPr>
      <w:r>
        <w:rPr>
          <w:rFonts w:hint="eastAsia" w:cs="仿宋"/>
          <w:lang w:eastAsia="zh-CN"/>
        </w:rPr>
        <w:t>本次评价根据绩效评价管理相关规定，对安泽县和川镇人民政府评价等级为优、良的，予以继续支持，对项目评价等级为中、差的，提出要求进行完善和改进，对不进行完善和改进的予以核减预算或整改到位后再予安排。</w:t>
      </w:r>
    </w:p>
    <w:p>
      <w:pPr>
        <w:widowControl w:val="0"/>
        <w:ind w:firstLine="640"/>
        <w:rPr>
          <w:lang w:eastAsia="zh-CN"/>
        </w:rPr>
      </w:pPr>
      <w:r>
        <w:rPr>
          <w:rFonts w:hint="eastAsia"/>
          <w:lang w:eastAsia="zh-CN"/>
        </w:rPr>
        <w:t>（4）</w:t>
      </w:r>
      <w:r>
        <w:rPr>
          <w:lang w:eastAsia="zh-CN"/>
        </w:rPr>
        <w:t>公开透明。绩效评价结果应依法依规公开，并自觉接受社会监督。</w:t>
      </w:r>
    </w:p>
    <w:p>
      <w:pPr>
        <w:widowControl w:val="0"/>
        <w:ind w:firstLine="640"/>
        <w:rPr>
          <w:lang w:eastAsia="zh-CN"/>
        </w:rPr>
      </w:pPr>
      <w:r>
        <w:rPr>
          <w:lang w:eastAsia="zh-CN"/>
        </w:rPr>
        <w:t>本次评价结果应向财政部门、上级主管单位以及涉及绩效工作的相关单位进行公开，与各部门进行信息共享，接受社会监督。</w:t>
      </w:r>
    </w:p>
    <w:bookmarkEnd w:id="102"/>
    <w:bookmarkEnd w:id="103"/>
    <w:p>
      <w:pPr>
        <w:pStyle w:val="6"/>
        <w:keepNext w:val="0"/>
        <w:keepLines w:val="0"/>
        <w:widowControl w:val="0"/>
        <w:ind w:firstLine="643"/>
        <w:rPr>
          <w:lang w:eastAsia="zh-CN"/>
        </w:rPr>
      </w:pPr>
      <w:bookmarkStart w:id="107" w:name="_Hlk152840491"/>
      <w:r>
        <w:rPr>
          <w:lang w:eastAsia="zh-CN"/>
        </w:rPr>
        <w:t>2</w:t>
      </w:r>
      <w:r>
        <w:rPr>
          <w:rFonts w:hint="eastAsia"/>
          <w:lang w:eastAsia="zh-CN"/>
        </w:rPr>
        <w:t>.评价</w:t>
      </w:r>
      <w:r>
        <w:rPr>
          <w:lang w:eastAsia="zh-CN"/>
        </w:rPr>
        <w:t>指标</w:t>
      </w:r>
      <w:r>
        <w:rPr>
          <w:rFonts w:hint="eastAsia"/>
          <w:lang w:eastAsia="zh-CN"/>
        </w:rPr>
        <w:t>体系。</w:t>
      </w:r>
      <w:bookmarkEnd w:id="104"/>
      <w:bookmarkEnd w:id="105"/>
    </w:p>
    <w:bookmarkEnd w:id="107"/>
    <w:p>
      <w:pPr>
        <w:widowControl w:val="0"/>
        <w:ind w:firstLine="640"/>
        <w:rPr>
          <w:lang w:eastAsia="zh-CN"/>
        </w:rPr>
      </w:pPr>
      <w:r>
        <w:rPr>
          <w:lang w:eastAsia="zh-CN"/>
        </w:rPr>
        <w:t>根据相关文件精神，</w:t>
      </w:r>
      <w:r>
        <w:rPr>
          <w:rFonts w:hint="eastAsia"/>
          <w:lang w:eastAsia="zh-CN"/>
        </w:rPr>
        <w:t>遵循相关性、重要性、可比性、系统性、经济性原则，形成了石渠村乡村振兴示范村建设项目支出绩效评价指标体系。共分三级指标。</w:t>
      </w:r>
      <w:bookmarkStart w:id="108" w:name="_Toc91979640"/>
      <w:r>
        <w:rPr>
          <w:rFonts w:hint="eastAsia"/>
          <w:lang w:eastAsia="zh-CN"/>
        </w:rPr>
        <w:t>一级指标4个：决策（20分）、过程（20分）、产出（30分）、效益（30分）；二级指标1</w:t>
      </w:r>
      <w:r>
        <w:rPr>
          <w:lang w:eastAsia="zh-CN"/>
        </w:rPr>
        <w:t>4</w:t>
      </w:r>
      <w:r>
        <w:rPr>
          <w:rFonts w:hint="eastAsia"/>
          <w:lang w:eastAsia="zh-CN"/>
        </w:rPr>
        <w:t>个：项目立项、绩效目标、资金投入、资金管理、组织实施、产出数量、产出质量、产出时效、产出成本、经济效益、生态效益、社会效益</w:t>
      </w:r>
      <w:r>
        <w:rPr>
          <w:lang w:eastAsia="zh-CN"/>
        </w:rPr>
        <w:t>、</w:t>
      </w:r>
      <w:r>
        <w:rPr>
          <w:rFonts w:hint="eastAsia"/>
          <w:lang w:eastAsia="zh-CN"/>
        </w:rPr>
        <w:t>可持续影响、项目相关人员满意度；三级指标29个，其中决策6个、过程</w:t>
      </w:r>
      <w:r>
        <w:rPr>
          <w:lang w:eastAsia="zh-CN"/>
        </w:rPr>
        <w:t>5</w:t>
      </w:r>
      <w:r>
        <w:rPr>
          <w:rFonts w:hint="eastAsia"/>
          <w:lang w:eastAsia="zh-CN"/>
        </w:rPr>
        <w:t>个、产出1</w:t>
      </w:r>
      <w:r>
        <w:rPr>
          <w:lang w:eastAsia="zh-CN"/>
        </w:rPr>
        <w:t>1</w:t>
      </w:r>
      <w:r>
        <w:rPr>
          <w:rFonts w:hint="eastAsia"/>
          <w:lang w:eastAsia="zh-CN"/>
        </w:rPr>
        <w:t>个、效益7个，三级指标具体内容及指标解释具体如下：</w:t>
      </w:r>
    </w:p>
    <w:p>
      <w:pPr>
        <w:widowControl w:val="0"/>
        <w:ind w:firstLine="640"/>
        <w:rPr>
          <w:lang w:eastAsia="zh-CN"/>
        </w:rPr>
      </w:pPr>
      <w:r>
        <w:rPr>
          <w:rFonts w:hint="eastAsia"/>
          <w:lang w:eastAsia="zh-CN"/>
        </w:rPr>
        <w:t>（1）决策</w:t>
      </w:r>
      <w:r>
        <w:rPr>
          <w:lang w:eastAsia="zh-CN"/>
        </w:rPr>
        <w:t>类指标</w:t>
      </w:r>
      <w:r>
        <w:rPr>
          <w:rFonts w:hint="eastAsia"/>
          <w:lang w:eastAsia="zh-CN"/>
        </w:rPr>
        <w:t>。</w:t>
      </w:r>
      <w:bookmarkEnd w:id="108"/>
    </w:p>
    <w:p>
      <w:pPr>
        <w:widowControl w:val="0"/>
        <w:ind w:firstLine="640"/>
        <w:rPr>
          <w:lang w:eastAsia="zh-CN"/>
        </w:rPr>
      </w:pPr>
      <w:bookmarkStart w:id="109" w:name="_Toc91979641"/>
      <w:r>
        <w:rPr>
          <w:rFonts w:hint="eastAsia"/>
          <w:lang w:eastAsia="zh-CN"/>
        </w:rPr>
        <w:t>决策类指标分为项目立项、绩效目标和资金投入</w:t>
      </w:r>
      <w:r>
        <w:rPr>
          <w:lang w:eastAsia="zh-CN"/>
        </w:rPr>
        <w:t>3</w:t>
      </w:r>
      <w:r>
        <w:rPr>
          <w:rFonts w:hint="eastAsia"/>
          <w:lang w:eastAsia="zh-CN"/>
        </w:rPr>
        <w:t>个二级指标，项目立项下设置立项依据充分性和立项程序规范性</w:t>
      </w:r>
      <w:r>
        <w:rPr>
          <w:lang w:eastAsia="zh-CN"/>
        </w:rPr>
        <w:t>2</w:t>
      </w:r>
      <w:r>
        <w:rPr>
          <w:rFonts w:hint="eastAsia"/>
          <w:lang w:eastAsia="zh-CN"/>
        </w:rPr>
        <w:t>个三级指标，绩效目标下设置绩效目标合理性和绩效指标明确性</w:t>
      </w:r>
      <w:r>
        <w:rPr>
          <w:lang w:eastAsia="zh-CN"/>
        </w:rPr>
        <w:t>2</w:t>
      </w:r>
      <w:r>
        <w:rPr>
          <w:rFonts w:hint="eastAsia"/>
          <w:lang w:eastAsia="zh-CN"/>
        </w:rPr>
        <w:t>个三级指标，资金投入下设置预算编制科学性和资金分配合理性</w:t>
      </w:r>
      <w:r>
        <w:rPr>
          <w:lang w:eastAsia="zh-CN"/>
        </w:rPr>
        <w:t>2</w:t>
      </w:r>
      <w:r>
        <w:rPr>
          <w:rFonts w:hint="eastAsia"/>
          <w:lang w:eastAsia="zh-CN"/>
        </w:rPr>
        <w:t>个三级指标。决策类指标分值共计20分。</w:t>
      </w:r>
      <w:r>
        <w:rPr>
          <w:lang w:eastAsia="zh-CN"/>
        </w:rPr>
        <w:t>各项指标分值构成情况详见表2-1。</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2</w:t>
      </w:r>
      <w:r>
        <w:rPr>
          <w:rFonts w:hint="eastAsia" w:ascii="黑体" w:hAnsi="黑体" w:eastAsia="黑体" w:cs="黑体"/>
          <w:sz w:val="24"/>
          <w:szCs w:val="24"/>
        </w:rPr>
        <w:t>-1 决策类指标构成情况</w:t>
      </w:r>
    </w:p>
    <w:tbl>
      <w:tblPr>
        <w:tblStyle w:val="23"/>
        <w:tblW w:w="5000" w:type="pct"/>
        <w:tblInd w:w="0" w:type="dxa"/>
        <w:tblLayout w:type="autofit"/>
        <w:tblCellMar>
          <w:top w:w="0" w:type="dxa"/>
          <w:left w:w="0" w:type="dxa"/>
          <w:bottom w:w="0" w:type="dxa"/>
          <w:right w:w="0" w:type="dxa"/>
        </w:tblCellMar>
      </w:tblPr>
      <w:tblGrid>
        <w:gridCol w:w="1135"/>
        <w:gridCol w:w="792"/>
        <w:gridCol w:w="1199"/>
        <w:gridCol w:w="772"/>
        <w:gridCol w:w="2046"/>
        <w:gridCol w:w="1197"/>
        <w:gridCol w:w="1195"/>
      </w:tblGrid>
      <w:tr>
        <w:tblPrEx>
          <w:tblCellMar>
            <w:top w:w="0" w:type="dxa"/>
            <w:left w:w="0" w:type="dxa"/>
            <w:bottom w:w="0" w:type="dxa"/>
            <w:right w:w="0" w:type="dxa"/>
          </w:tblCellMar>
        </w:tblPrEx>
        <w:trPr>
          <w:trHeight w:val="397" w:hRule="atLeast"/>
          <w:tblHeader/>
        </w:trPr>
        <w:tc>
          <w:tcPr>
            <w:tcW w:w="68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rPr>
            </w:pPr>
            <w:r>
              <w:rPr>
                <w:rFonts w:hint="eastAsia" w:ascii="宋体" w:hAnsi="宋体" w:eastAsia="宋体" w:cs="宋体"/>
                <w:b/>
                <w:bCs/>
                <w:color w:val="000000"/>
                <w:kern w:val="2"/>
                <w:sz w:val="21"/>
                <w:szCs w:val="21"/>
                <w:lang w:eastAsia="zh-CN"/>
              </w:rPr>
              <w:t>一级指标</w:t>
            </w:r>
          </w:p>
        </w:tc>
        <w:tc>
          <w:tcPr>
            <w:tcW w:w="47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rPr>
            </w:pPr>
            <w:r>
              <w:rPr>
                <w:rFonts w:hint="eastAsia" w:ascii="宋体" w:hAnsi="宋体" w:eastAsia="宋体" w:cs="宋体"/>
                <w:b/>
                <w:bCs/>
                <w:color w:val="000000"/>
                <w:kern w:val="2"/>
                <w:sz w:val="21"/>
                <w:szCs w:val="21"/>
                <w:lang w:eastAsia="zh-CN"/>
              </w:rPr>
              <w:t>分值</w:t>
            </w:r>
          </w:p>
        </w:tc>
        <w:tc>
          <w:tcPr>
            <w:tcW w:w="71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rPr>
            </w:pPr>
            <w:r>
              <w:rPr>
                <w:rFonts w:hint="eastAsia" w:ascii="宋体" w:hAnsi="宋体" w:eastAsia="宋体" w:cs="宋体"/>
                <w:b/>
                <w:bCs/>
                <w:color w:val="000000"/>
                <w:kern w:val="2"/>
                <w:sz w:val="21"/>
                <w:szCs w:val="21"/>
                <w:lang w:eastAsia="zh-CN"/>
              </w:rPr>
              <w:t>二级指标</w:t>
            </w:r>
          </w:p>
        </w:tc>
        <w:tc>
          <w:tcPr>
            <w:tcW w:w="46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rPr>
            </w:pPr>
            <w:r>
              <w:rPr>
                <w:rFonts w:hint="eastAsia" w:ascii="宋体" w:hAnsi="宋体" w:eastAsia="宋体" w:cs="宋体"/>
                <w:b/>
                <w:bCs/>
                <w:color w:val="000000"/>
                <w:kern w:val="2"/>
                <w:sz w:val="21"/>
                <w:szCs w:val="21"/>
                <w:lang w:eastAsia="zh-CN"/>
              </w:rPr>
              <w:t>分值</w:t>
            </w: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rPr>
            </w:pPr>
            <w:r>
              <w:rPr>
                <w:rFonts w:hint="eastAsia" w:ascii="宋体" w:hAnsi="宋体" w:eastAsia="宋体" w:cs="宋体"/>
                <w:b/>
                <w:bCs/>
                <w:color w:val="000000"/>
                <w:kern w:val="2"/>
                <w:sz w:val="21"/>
                <w:szCs w:val="21"/>
                <w:lang w:eastAsia="zh-CN"/>
              </w:rPr>
              <w:t>三级指标</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目标值</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rPr>
            </w:pPr>
            <w:r>
              <w:rPr>
                <w:rFonts w:hint="eastAsia" w:ascii="宋体" w:hAnsi="宋体" w:eastAsia="宋体" w:cs="宋体"/>
                <w:b/>
                <w:bCs/>
                <w:color w:val="000000"/>
                <w:kern w:val="2"/>
                <w:sz w:val="21"/>
                <w:szCs w:val="21"/>
                <w:lang w:eastAsia="zh-CN"/>
              </w:rPr>
              <w:t>分值</w:t>
            </w:r>
          </w:p>
        </w:tc>
      </w:tr>
      <w:tr>
        <w:tblPrEx>
          <w:tblCellMar>
            <w:top w:w="0" w:type="dxa"/>
            <w:left w:w="0" w:type="dxa"/>
            <w:bottom w:w="0" w:type="dxa"/>
            <w:right w:w="0" w:type="dxa"/>
          </w:tblCellMar>
        </w:tblPrEx>
        <w:trPr>
          <w:trHeight w:val="397" w:hRule="atLeast"/>
        </w:trPr>
        <w:tc>
          <w:tcPr>
            <w:tcW w:w="68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决策</w:t>
            </w:r>
          </w:p>
        </w:tc>
        <w:tc>
          <w:tcPr>
            <w:tcW w:w="475"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20</w:t>
            </w:r>
          </w:p>
        </w:tc>
        <w:tc>
          <w:tcPr>
            <w:tcW w:w="71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项目立项</w:t>
            </w:r>
          </w:p>
        </w:tc>
        <w:tc>
          <w:tcPr>
            <w:tcW w:w="4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6</w:t>
            </w: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立项依据充分性</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充分</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3</w:t>
            </w:r>
          </w:p>
        </w:tc>
      </w:tr>
      <w:tr>
        <w:tblPrEx>
          <w:tblCellMar>
            <w:top w:w="0" w:type="dxa"/>
            <w:left w:w="0" w:type="dxa"/>
            <w:bottom w:w="0" w:type="dxa"/>
            <w:right w:w="0" w:type="dxa"/>
          </w:tblCellMar>
        </w:tblPrEx>
        <w:trPr>
          <w:trHeight w:val="397" w:hRule="atLeast"/>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立项程序规范性</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规范</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3</w:t>
            </w:r>
          </w:p>
        </w:tc>
      </w:tr>
      <w:tr>
        <w:tblPrEx>
          <w:tblCellMar>
            <w:top w:w="0" w:type="dxa"/>
            <w:left w:w="0" w:type="dxa"/>
            <w:bottom w:w="0" w:type="dxa"/>
            <w:right w:w="0" w:type="dxa"/>
          </w:tblCellMar>
        </w:tblPrEx>
        <w:trPr>
          <w:trHeight w:val="397" w:hRule="atLeast"/>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71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绩效目标</w:t>
            </w:r>
          </w:p>
        </w:tc>
        <w:tc>
          <w:tcPr>
            <w:tcW w:w="4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7</w:t>
            </w: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绩效目标合理性</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合理</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4</w:t>
            </w:r>
          </w:p>
        </w:tc>
      </w:tr>
      <w:tr>
        <w:tblPrEx>
          <w:tblCellMar>
            <w:top w:w="0" w:type="dxa"/>
            <w:left w:w="0" w:type="dxa"/>
            <w:bottom w:w="0" w:type="dxa"/>
            <w:right w:w="0" w:type="dxa"/>
          </w:tblCellMar>
        </w:tblPrEx>
        <w:trPr>
          <w:trHeight w:val="397" w:hRule="atLeast"/>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绩效指标明确性</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明确</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3</w:t>
            </w:r>
          </w:p>
        </w:tc>
      </w:tr>
      <w:tr>
        <w:tblPrEx>
          <w:tblCellMar>
            <w:top w:w="0" w:type="dxa"/>
            <w:left w:w="0" w:type="dxa"/>
            <w:bottom w:w="0" w:type="dxa"/>
            <w:right w:w="0" w:type="dxa"/>
          </w:tblCellMar>
        </w:tblPrEx>
        <w:trPr>
          <w:trHeight w:val="397" w:hRule="atLeast"/>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71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资金投入</w:t>
            </w:r>
          </w:p>
        </w:tc>
        <w:tc>
          <w:tcPr>
            <w:tcW w:w="463"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7</w:t>
            </w: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预算编制科学性</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科学</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4</w:t>
            </w:r>
          </w:p>
        </w:tc>
      </w:tr>
      <w:tr>
        <w:tblPrEx>
          <w:tblCellMar>
            <w:top w:w="0" w:type="dxa"/>
            <w:left w:w="0" w:type="dxa"/>
            <w:bottom w:w="0" w:type="dxa"/>
            <w:right w:w="0" w:type="dxa"/>
          </w:tblCellMar>
        </w:tblPrEx>
        <w:trPr>
          <w:trHeight w:val="397" w:hRule="atLeast"/>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71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463"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rPr>
                <w:rFonts w:ascii="宋体" w:hAnsi="宋体" w:eastAsia="宋体" w:cs="宋体"/>
                <w:kern w:val="2"/>
                <w:sz w:val="21"/>
                <w:szCs w:val="21"/>
              </w:rPr>
            </w:pPr>
          </w:p>
        </w:tc>
        <w:tc>
          <w:tcPr>
            <w:tcW w:w="12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资金分配合理性</w:t>
            </w:r>
          </w:p>
        </w:tc>
        <w:tc>
          <w:tcPr>
            <w:tcW w:w="718"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合理</w:t>
            </w:r>
          </w:p>
        </w:tc>
        <w:tc>
          <w:tcPr>
            <w:tcW w:w="7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3</w:t>
            </w:r>
          </w:p>
        </w:tc>
      </w:tr>
    </w:tbl>
    <w:p>
      <w:pPr>
        <w:widowControl w:val="0"/>
        <w:ind w:firstLine="640"/>
        <w:rPr>
          <w:lang w:eastAsia="zh-CN"/>
        </w:rPr>
      </w:pPr>
      <w:r>
        <w:rPr>
          <w:rFonts w:hint="eastAsia"/>
          <w:lang w:eastAsia="zh-CN"/>
        </w:rPr>
        <w:t>立项依据充分性衡量项目立项</w:t>
      </w:r>
      <w:r>
        <w:rPr>
          <w:lang w:eastAsia="zh-CN"/>
        </w:rPr>
        <w:t>是否</w:t>
      </w:r>
      <w:r>
        <w:rPr>
          <w:rFonts w:hint="eastAsia"/>
          <w:lang w:eastAsia="zh-CN"/>
        </w:rPr>
        <w:t>符合法律法规、相关政策、发展规划</w:t>
      </w:r>
      <w:r>
        <w:rPr>
          <w:lang w:eastAsia="zh-CN"/>
        </w:rPr>
        <w:t>有关要求，是否符合</w:t>
      </w:r>
      <w:r>
        <w:rPr>
          <w:rFonts w:hint="eastAsia"/>
          <w:lang w:eastAsia="zh-CN"/>
        </w:rPr>
        <w:t>部门职责</w:t>
      </w:r>
      <w:r>
        <w:rPr>
          <w:lang w:eastAsia="zh-CN"/>
        </w:rPr>
        <w:t>范围</w:t>
      </w:r>
      <w:r>
        <w:rPr>
          <w:rFonts w:hint="eastAsia"/>
          <w:lang w:eastAsia="zh-CN"/>
        </w:rPr>
        <w:t>，用以反映和考核项目立项依据情况。</w:t>
      </w:r>
    </w:p>
    <w:p>
      <w:pPr>
        <w:widowControl w:val="0"/>
        <w:ind w:firstLine="640"/>
        <w:rPr>
          <w:lang w:eastAsia="zh-CN"/>
        </w:rPr>
      </w:pPr>
      <w:r>
        <w:rPr>
          <w:rFonts w:hint="eastAsia"/>
          <w:lang w:eastAsia="zh-CN"/>
        </w:rPr>
        <w:t>立项程序规范性衡量项目申请、设立过程</w:t>
      </w:r>
      <w:r>
        <w:rPr>
          <w:lang w:eastAsia="zh-CN"/>
        </w:rPr>
        <w:t>是否</w:t>
      </w:r>
      <w:r>
        <w:rPr>
          <w:rFonts w:hint="eastAsia"/>
          <w:lang w:eastAsia="zh-CN"/>
        </w:rPr>
        <w:t>符合相关要求，用以反映和考核项目立项的规范情况。</w:t>
      </w:r>
    </w:p>
    <w:p>
      <w:pPr>
        <w:widowControl w:val="0"/>
        <w:ind w:firstLine="640"/>
        <w:rPr>
          <w:lang w:eastAsia="zh-CN"/>
        </w:rPr>
      </w:pPr>
      <w:r>
        <w:rPr>
          <w:rFonts w:hint="eastAsia"/>
          <w:lang w:eastAsia="zh-CN"/>
        </w:rPr>
        <w:t>绩效目标合理性衡量项目所设定的绩效目标依据</w:t>
      </w:r>
      <w:r>
        <w:rPr>
          <w:lang w:eastAsia="zh-CN"/>
        </w:rPr>
        <w:t>是否</w:t>
      </w:r>
      <w:r>
        <w:rPr>
          <w:rFonts w:hint="eastAsia"/>
          <w:lang w:eastAsia="zh-CN"/>
        </w:rPr>
        <w:t>充分，</w:t>
      </w:r>
      <w:r>
        <w:rPr>
          <w:lang w:eastAsia="zh-CN"/>
        </w:rPr>
        <w:t>是否</w:t>
      </w:r>
      <w:r>
        <w:rPr>
          <w:rFonts w:hint="eastAsia"/>
          <w:lang w:eastAsia="zh-CN"/>
        </w:rPr>
        <w:t>符合客观实际，用以反映和考核项目绩效目标与项目实施的相符情况。</w:t>
      </w:r>
    </w:p>
    <w:p>
      <w:pPr>
        <w:widowControl w:val="0"/>
        <w:ind w:firstLine="640"/>
        <w:rPr>
          <w:lang w:eastAsia="zh-CN"/>
        </w:rPr>
      </w:pPr>
      <w:r>
        <w:rPr>
          <w:rFonts w:hint="eastAsia"/>
          <w:lang w:eastAsia="zh-CN"/>
        </w:rPr>
        <w:t>绩效指标明确性衡量依据绩效目标设定的绩效指标</w:t>
      </w:r>
      <w:r>
        <w:rPr>
          <w:lang w:eastAsia="zh-CN"/>
        </w:rPr>
        <w:t>是否</w:t>
      </w:r>
      <w:r>
        <w:rPr>
          <w:rFonts w:hint="eastAsia"/>
          <w:lang w:eastAsia="zh-CN"/>
        </w:rPr>
        <w:t>清晰、细化、可衡量等，用以反映和考核项目绩效目标的明细化情况。</w:t>
      </w:r>
    </w:p>
    <w:p>
      <w:pPr>
        <w:widowControl w:val="0"/>
        <w:ind w:firstLine="640"/>
        <w:rPr>
          <w:lang w:eastAsia="zh-CN"/>
        </w:rPr>
      </w:pPr>
      <w:r>
        <w:rPr>
          <w:rFonts w:hint="eastAsia"/>
          <w:lang w:eastAsia="zh-CN"/>
        </w:rPr>
        <w:t>预算编制科学性衡量项目预算编制</w:t>
      </w:r>
      <w:r>
        <w:rPr>
          <w:lang w:eastAsia="zh-CN"/>
        </w:rPr>
        <w:t>是否</w:t>
      </w:r>
      <w:r>
        <w:rPr>
          <w:rFonts w:hint="eastAsia"/>
          <w:lang w:eastAsia="zh-CN"/>
        </w:rPr>
        <w:t>经过科学论证、有明确标准，资金额度</w:t>
      </w:r>
      <w:r>
        <w:rPr>
          <w:lang w:eastAsia="zh-CN"/>
        </w:rPr>
        <w:t>是否</w:t>
      </w:r>
      <w:r>
        <w:rPr>
          <w:rFonts w:hint="eastAsia"/>
          <w:lang w:eastAsia="zh-CN"/>
        </w:rPr>
        <w:t>与年度目标相适应，用以反映和考核项目预算编制的科学性、合理性情况。</w:t>
      </w:r>
    </w:p>
    <w:p>
      <w:pPr>
        <w:widowControl w:val="0"/>
        <w:ind w:firstLine="640"/>
        <w:rPr>
          <w:lang w:eastAsia="zh-CN"/>
        </w:rPr>
      </w:pPr>
      <w:r>
        <w:rPr>
          <w:rFonts w:hint="eastAsia"/>
          <w:lang w:eastAsia="zh-CN"/>
        </w:rPr>
        <w:t>资金分配合理性衡量项目预算资金分配</w:t>
      </w:r>
      <w:r>
        <w:rPr>
          <w:lang w:eastAsia="zh-CN"/>
        </w:rPr>
        <w:t>是否</w:t>
      </w:r>
      <w:r>
        <w:rPr>
          <w:rFonts w:hint="eastAsia"/>
          <w:lang w:eastAsia="zh-CN"/>
        </w:rPr>
        <w:t>有测算依据，</w:t>
      </w:r>
      <w:r>
        <w:rPr>
          <w:lang w:eastAsia="zh-CN"/>
        </w:rPr>
        <w:t>是否</w:t>
      </w:r>
      <w:r>
        <w:rPr>
          <w:rFonts w:hint="eastAsia"/>
          <w:lang w:eastAsia="zh-CN"/>
        </w:rPr>
        <w:t>与补助单位或地方实际相适应，用以反映和考核项目预算的科学性、合理性情况。</w:t>
      </w:r>
    </w:p>
    <w:p>
      <w:pPr>
        <w:widowControl w:val="0"/>
        <w:ind w:firstLine="640"/>
        <w:rPr>
          <w:lang w:eastAsia="zh-CN"/>
        </w:rPr>
      </w:pPr>
      <w:r>
        <w:rPr>
          <w:rFonts w:hint="eastAsia"/>
          <w:lang w:eastAsia="zh-CN"/>
        </w:rPr>
        <w:t>（2）过程</w:t>
      </w:r>
      <w:r>
        <w:rPr>
          <w:lang w:eastAsia="zh-CN"/>
        </w:rPr>
        <w:t>类指标</w:t>
      </w:r>
      <w:r>
        <w:rPr>
          <w:rFonts w:hint="eastAsia"/>
          <w:lang w:eastAsia="zh-CN"/>
        </w:rPr>
        <w:t>。</w:t>
      </w:r>
      <w:bookmarkEnd w:id="109"/>
    </w:p>
    <w:p>
      <w:pPr>
        <w:widowControl w:val="0"/>
        <w:ind w:firstLine="640"/>
        <w:rPr>
          <w:lang w:eastAsia="zh-CN"/>
        </w:rPr>
      </w:pPr>
      <w:bookmarkStart w:id="110" w:name="_Toc91979642"/>
      <w:r>
        <w:rPr>
          <w:rFonts w:hint="eastAsia"/>
          <w:lang w:eastAsia="zh-CN"/>
        </w:rPr>
        <w:t>过程类指标分为资金管理和组织实施</w:t>
      </w:r>
      <w:r>
        <w:rPr>
          <w:lang w:eastAsia="zh-CN"/>
        </w:rPr>
        <w:t>2</w:t>
      </w:r>
      <w:r>
        <w:rPr>
          <w:rFonts w:hint="eastAsia"/>
          <w:lang w:eastAsia="zh-CN"/>
        </w:rPr>
        <w:t>个二级指标，资金管理指标下设置资金到位率、预算执行率和资金使用合规性3个三级指标，组织实施指标下设置管理制度健全性</w:t>
      </w:r>
      <w:r>
        <w:rPr>
          <w:lang w:eastAsia="zh-CN"/>
        </w:rPr>
        <w:t>、</w:t>
      </w:r>
      <w:r>
        <w:rPr>
          <w:rFonts w:hint="eastAsia"/>
          <w:lang w:eastAsia="zh-CN"/>
        </w:rPr>
        <w:t>制度执行有效性</w:t>
      </w:r>
      <w:r>
        <w:rPr>
          <w:lang w:eastAsia="zh-CN"/>
        </w:rPr>
        <w:t>2</w:t>
      </w:r>
      <w:r>
        <w:rPr>
          <w:rFonts w:hint="eastAsia"/>
          <w:lang w:eastAsia="zh-CN"/>
        </w:rPr>
        <w:t>个三级指标。过程类指标分值共计20分。</w:t>
      </w:r>
      <w:r>
        <w:rPr>
          <w:lang w:eastAsia="zh-CN"/>
        </w:rPr>
        <w:t>各项指标分值构成情况详见表2-2。</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2</w:t>
      </w:r>
      <w:r>
        <w:rPr>
          <w:rFonts w:hint="eastAsia" w:ascii="黑体" w:hAnsi="黑体" w:eastAsia="黑体" w:cs="黑体"/>
          <w:sz w:val="24"/>
          <w:szCs w:val="24"/>
        </w:rPr>
        <w:t>-2 过程类指标构成情况</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88"/>
        <w:gridCol w:w="785"/>
        <w:gridCol w:w="1189"/>
        <w:gridCol w:w="767"/>
        <w:gridCol w:w="2029"/>
        <w:gridCol w:w="1189"/>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一级指标</w:t>
            </w:r>
          </w:p>
        </w:tc>
        <w:tc>
          <w:tcPr>
            <w:tcW w:w="471"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二级指标</w:t>
            </w:r>
          </w:p>
        </w:tc>
        <w:tc>
          <w:tcPr>
            <w:tcW w:w="460"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c>
          <w:tcPr>
            <w:tcW w:w="121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三级指标</w:t>
            </w:r>
          </w:p>
        </w:tc>
        <w:tc>
          <w:tcPr>
            <w:tcW w:w="713" w:type="pct"/>
            <w:shd w:val="clear" w:color="FFFFFF" w:fill="FFFFFF"/>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目标值</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3"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过程</w:t>
            </w:r>
          </w:p>
        </w:tc>
        <w:tc>
          <w:tcPr>
            <w:tcW w:w="471"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20</w:t>
            </w:r>
          </w:p>
        </w:tc>
        <w:tc>
          <w:tcPr>
            <w:tcW w:w="713"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资金管理</w:t>
            </w:r>
          </w:p>
        </w:tc>
        <w:tc>
          <w:tcPr>
            <w:tcW w:w="460"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w:t>
            </w:r>
          </w:p>
        </w:tc>
        <w:tc>
          <w:tcPr>
            <w:tcW w:w="121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资金到位率</w:t>
            </w:r>
          </w:p>
        </w:tc>
        <w:tc>
          <w:tcPr>
            <w:tcW w:w="713"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100%及时</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3" w:type="pct"/>
            <w:vMerge w:val="continue"/>
            <w:shd w:val="clear" w:color="FFFFFF" w:fill="FFFFFF"/>
            <w:tcMar>
              <w:top w:w="15" w:type="dxa"/>
              <w:left w:w="15" w:type="dxa"/>
              <w:right w:w="15" w:type="dxa"/>
            </w:tcMar>
            <w:vAlign w:val="center"/>
          </w:tcPr>
          <w:p>
            <w:pPr>
              <w:widowControl w:val="0"/>
              <w:spacing w:line="240" w:lineRule="auto"/>
              <w:ind w:firstLine="420" w:firstLineChars="0"/>
              <w:jc w:val="center"/>
              <w:rPr>
                <w:rFonts w:ascii="宋体" w:hAnsi="宋体" w:eastAsia="宋体" w:cs="宋体"/>
                <w:kern w:val="2"/>
                <w:sz w:val="21"/>
                <w:szCs w:val="21"/>
              </w:rPr>
            </w:pPr>
          </w:p>
        </w:tc>
        <w:tc>
          <w:tcPr>
            <w:tcW w:w="47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713"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46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21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预算执行率</w:t>
            </w:r>
          </w:p>
        </w:tc>
        <w:tc>
          <w:tcPr>
            <w:tcW w:w="713"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90%</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ascii="宋体" w:hAnsi="宋体" w:eastAsia="宋体" w:cs="宋体"/>
                <w:color w:val="000000"/>
                <w:kern w:val="2"/>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3"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47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713"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46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21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资金使用合规性</w:t>
            </w:r>
          </w:p>
        </w:tc>
        <w:tc>
          <w:tcPr>
            <w:tcW w:w="713"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合规</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ascii="宋体" w:hAnsi="宋体" w:eastAsia="宋体" w:cs="宋体"/>
                <w:color w:val="000000"/>
                <w:kern w:val="2"/>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3"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47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713"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组织实施</w:t>
            </w:r>
          </w:p>
        </w:tc>
        <w:tc>
          <w:tcPr>
            <w:tcW w:w="460"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ascii="宋体" w:hAnsi="宋体" w:eastAsia="宋体" w:cs="宋体"/>
                <w:color w:val="000000"/>
                <w:kern w:val="2"/>
                <w:sz w:val="21"/>
                <w:szCs w:val="21"/>
              </w:rPr>
              <w:t>10</w:t>
            </w:r>
          </w:p>
        </w:tc>
        <w:tc>
          <w:tcPr>
            <w:tcW w:w="121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管理制度健全性</w:t>
            </w:r>
          </w:p>
        </w:tc>
        <w:tc>
          <w:tcPr>
            <w:tcW w:w="713"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健全</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3"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47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713"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6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121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制度执行有效性</w:t>
            </w:r>
          </w:p>
        </w:tc>
        <w:tc>
          <w:tcPr>
            <w:tcW w:w="713"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有效</w:t>
            </w:r>
          </w:p>
        </w:tc>
        <w:tc>
          <w:tcPr>
            <w:tcW w:w="713"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r>
    </w:tbl>
    <w:p>
      <w:pPr>
        <w:widowControl w:val="0"/>
        <w:ind w:firstLine="640"/>
        <w:rPr>
          <w:lang w:eastAsia="zh-CN"/>
        </w:rPr>
      </w:pPr>
      <w:r>
        <w:rPr>
          <w:rFonts w:hint="eastAsia"/>
          <w:lang w:eastAsia="zh-CN"/>
        </w:rPr>
        <w:t>资金到位率衡量实际到位资金与预算资金的比率以及预算资金</w:t>
      </w:r>
      <w:r>
        <w:rPr>
          <w:lang w:eastAsia="zh-CN"/>
        </w:rPr>
        <w:t>是否及时拨付</w:t>
      </w:r>
      <w:r>
        <w:rPr>
          <w:rFonts w:hint="eastAsia"/>
          <w:lang w:eastAsia="zh-CN"/>
        </w:rPr>
        <w:t>，用以反映和考核资金落实情况和</w:t>
      </w:r>
      <w:r>
        <w:rPr>
          <w:lang w:eastAsia="zh-CN"/>
        </w:rPr>
        <w:t>资金到位及时情况</w:t>
      </w:r>
      <w:r>
        <w:rPr>
          <w:rFonts w:hint="eastAsia"/>
          <w:lang w:eastAsia="zh-CN"/>
        </w:rPr>
        <w:t>对项目实施的总体保障程度。</w:t>
      </w:r>
    </w:p>
    <w:p>
      <w:pPr>
        <w:widowControl w:val="0"/>
        <w:ind w:firstLine="640"/>
        <w:rPr>
          <w:lang w:eastAsia="zh-CN"/>
        </w:rPr>
      </w:pPr>
      <w:r>
        <w:rPr>
          <w:rFonts w:hint="eastAsia"/>
          <w:lang w:eastAsia="zh-CN"/>
        </w:rPr>
        <w:t>预算执行率衡量项目预算资金</w:t>
      </w:r>
      <w:r>
        <w:rPr>
          <w:lang w:eastAsia="zh-CN"/>
        </w:rPr>
        <w:t>是否</w:t>
      </w:r>
      <w:r>
        <w:rPr>
          <w:rFonts w:hint="eastAsia"/>
          <w:lang w:eastAsia="zh-CN"/>
        </w:rPr>
        <w:t>按照计划执行，用以反映或考核项目预算执行情况。</w:t>
      </w:r>
    </w:p>
    <w:p>
      <w:pPr>
        <w:widowControl w:val="0"/>
        <w:ind w:firstLine="640"/>
        <w:rPr>
          <w:lang w:eastAsia="zh-CN"/>
        </w:rPr>
      </w:pPr>
      <w:r>
        <w:rPr>
          <w:rFonts w:hint="eastAsia"/>
          <w:lang w:eastAsia="zh-CN"/>
        </w:rPr>
        <w:t>资金使用合规性衡量项目资金使用</w:t>
      </w:r>
      <w:r>
        <w:rPr>
          <w:lang w:eastAsia="zh-CN"/>
        </w:rPr>
        <w:t>是否</w:t>
      </w:r>
      <w:r>
        <w:rPr>
          <w:rFonts w:hint="eastAsia"/>
          <w:lang w:eastAsia="zh-CN"/>
        </w:rPr>
        <w:t>符合相关的财务管理制度规定，用以反映和考核项目资金的规范运行情况。</w:t>
      </w:r>
    </w:p>
    <w:p>
      <w:pPr>
        <w:pStyle w:val="46"/>
        <w:widowControl w:val="0"/>
        <w:ind w:firstLine="640" w:firstLineChars="200"/>
        <w:jc w:val="both"/>
        <w:outlineLvl w:val="9"/>
        <w:rPr>
          <w:rFonts w:ascii="仿宋" w:hAnsi="仿宋" w:eastAsia="仿宋"/>
          <w:sz w:val="32"/>
          <w:szCs w:val="32"/>
        </w:rPr>
      </w:pPr>
      <w:r>
        <w:rPr>
          <w:rFonts w:hint="eastAsia" w:ascii="仿宋" w:hAnsi="仿宋" w:eastAsia="仿宋"/>
          <w:sz w:val="32"/>
          <w:szCs w:val="32"/>
        </w:rPr>
        <w:t>管理制度健全性衡量项目相关财务制度、业务管理制度和监督检查机制是否健全，是否覆盖项目实施全过程各环节，是否包括政府采购规范、项目实施管理制度、质量相关的要求、验收等方面内容，用以反映和考核项目财务制度、业务管理制度和监督检查机制对项目顺利实施的保障情况。</w:t>
      </w:r>
    </w:p>
    <w:p>
      <w:pPr>
        <w:pStyle w:val="46"/>
        <w:widowControl w:val="0"/>
        <w:ind w:firstLine="640" w:firstLineChars="200"/>
        <w:jc w:val="both"/>
        <w:outlineLvl w:val="9"/>
        <w:rPr>
          <w:rFonts w:ascii="仿宋" w:hAnsi="仿宋" w:eastAsia="仿宋"/>
          <w:sz w:val="32"/>
          <w:szCs w:val="32"/>
        </w:rPr>
      </w:pPr>
      <w:r>
        <w:rPr>
          <w:rFonts w:hint="eastAsia" w:ascii="仿宋" w:hAnsi="仿宋" w:eastAsia="仿宋"/>
          <w:sz w:val="32"/>
          <w:szCs w:val="32"/>
        </w:rPr>
        <w:t>制度执行有效性衡量项目实施是否符合项目相关管理规定，项目建设相关手续是否完备，项目相关资料是否齐全并及时归档，项目实施的人员条件、场地设备、信息支撑等是否落实到位，用以反映和考核项目相关管理制度的有效执行情况。</w:t>
      </w:r>
    </w:p>
    <w:p>
      <w:pPr>
        <w:widowControl w:val="0"/>
        <w:ind w:firstLine="640"/>
        <w:rPr>
          <w:lang w:eastAsia="zh-CN"/>
        </w:rPr>
      </w:pPr>
      <w:r>
        <w:rPr>
          <w:rFonts w:hint="eastAsia"/>
          <w:lang w:eastAsia="zh-CN"/>
        </w:rPr>
        <w:t>（3）产出</w:t>
      </w:r>
      <w:r>
        <w:rPr>
          <w:lang w:eastAsia="zh-CN"/>
        </w:rPr>
        <w:t>类指标</w:t>
      </w:r>
      <w:r>
        <w:rPr>
          <w:rFonts w:hint="eastAsia"/>
          <w:lang w:eastAsia="zh-CN"/>
        </w:rPr>
        <w:t>。</w:t>
      </w:r>
      <w:bookmarkEnd w:id="110"/>
    </w:p>
    <w:p>
      <w:pPr>
        <w:widowControl w:val="0"/>
        <w:ind w:firstLine="640"/>
        <w:rPr>
          <w:lang w:eastAsia="zh-CN"/>
        </w:rPr>
      </w:pPr>
      <w:bookmarkStart w:id="111" w:name="_Hlk152520776"/>
      <w:bookmarkStart w:id="112" w:name="_Toc91979643"/>
      <w:r>
        <w:rPr>
          <w:rFonts w:hint="eastAsia"/>
          <w:lang w:eastAsia="zh-CN"/>
        </w:rPr>
        <w:t>产出类指标下设置产出数量、产出质量、产出时效、产出成本</w:t>
      </w:r>
      <w:r>
        <w:rPr>
          <w:lang w:eastAsia="zh-CN"/>
        </w:rPr>
        <w:t>4</w:t>
      </w:r>
      <w:r>
        <w:rPr>
          <w:rFonts w:hint="eastAsia"/>
          <w:lang w:eastAsia="zh-CN"/>
        </w:rPr>
        <w:t>个二级指标，产出数量下设置</w:t>
      </w:r>
      <w:bookmarkStart w:id="113" w:name="_Hlk152836017"/>
      <w:r>
        <w:rPr>
          <w:rFonts w:hint="eastAsia"/>
          <w:lang w:eastAsia="zh-CN"/>
        </w:rPr>
        <w:t>康养驿站主楼改造完成率、公共厕所改造完成率、新建消防水池完成率、民宿改造完成率、生态停车场完成率、绿化景观改造完成率、新建民宿完成率、给水污水管网改造完成率</w:t>
      </w:r>
      <w:bookmarkEnd w:id="113"/>
      <w:r>
        <w:rPr>
          <w:lang w:eastAsia="zh-CN"/>
        </w:rPr>
        <w:t>8</w:t>
      </w:r>
      <w:r>
        <w:rPr>
          <w:rFonts w:hint="eastAsia"/>
          <w:lang w:eastAsia="zh-CN"/>
        </w:rPr>
        <w:t>个三级指标；产出质量下设置工程质量达标率1个三级指标；产出时效下设置完工及时率1个三级指标，</w:t>
      </w:r>
      <w:r>
        <w:rPr>
          <w:rFonts w:hint="eastAsia"/>
          <w:szCs w:val="32"/>
          <w:lang w:eastAsia="zh-CN"/>
        </w:rPr>
        <w:t>产出成本下设置费用节余率1个三级指标</w:t>
      </w:r>
      <w:r>
        <w:rPr>
          <w:rFonts w:hint="eastAsia"/>
          <w:lang w:eastAsia="zh-CN"/>
        </w:rPr>
        <w:t>。产出类指标分值共计30分。</w:t>
      </w:r>
      <w:r>
        <w:rPr>
          <w:lang w:eastAsia="zh-CN"/>
        </w:rPr>
        <w:t>各项指标分值构成情况详见表2-3。</w:t>
      </w:r>
    </w:p>
    <w:p>
      <w:pPr>
        <w:pStyle w:val="46"/>
        <w:widowControl w:val="0"/>
        <w:jc w:val="center"/>
        <w:outlineLvl w:val="9"/>
        <w:rPr>
          <w:rFonts w:ascii="仿宋_GB2312" w:hAnsi="仿宋_GB2312" w:eastAsia="仿宋_GB2312"/>
          <w:sz w:val="28"/>
        </w:rPr>
      </w:pPr>
      <w:r>
        <w:rPr>
          <w:rFonts w:hint="eastAsia" w:ascii="黑体" w:hAnsi="黑体" w:eastAsia="黑体" w:cs="黑体"/>
          <w:sz w:val="24"/>
          <w:szCs w:val="24"/>
        </w:rPr>
        <w:t>表</w:t>
      </w:r>
      <w:r>
        <w:rPr>
          <w:rFonts w:ascii="黑体" w:hAnsi="黑体" w:eastAsia="黑体" w:cs="黑体"/>
          <w:sz w:val="24"/>
          <w:szCs w:val="24"/>
        </w:rPr>
        <w:t>2</w:t>
      </w:r>
      <w:r>
        <w:rPr>
          <w:rFonts w:hint="eastAsia" w:ascii="黑体" w:hAnsi="黑体" w:eastAsia="黑体" w:cs="黑体"/>
          <w:sz w:val="24"/>
          <w:szCs w:val="24"/>
        </w:rPr>
        <w:t>-3 产出类指标构成情况</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8"/>
        <w:gridCol w:w="675"/>
        <w:gridCol w:w="1034"/>
        <w:gridCol w:w="647"/>
        <w:gridCol w:w="3488"/>
        <w:gridCol w:w="737"/>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611"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bookmarkStart w:id="114" w:name="_Hlk152836048"/>
            <w:r>
              <w:rPr>
                <w:rFonts w:hint="eastAsia" w:ascii="宋体" w:hAnsi="宋体" w:eastAsia="宋体" w:cs="宋体"/>
                <w:b/>
                <w:color w:val="000000"/>
                <w:kern w:val="2"/>
                <w:sz w:val="21"/>
                <w:szCs w:val="21"/>
                <w:lang w:eastAsia="zh-CN"/>
              </w:rPr>
              <w:t>一级指标</w:t>
            </w:r>
          </w:p>
        </w:tc>
        <w:tc>
          <w:tcPr>
            <w:tcW w:w="40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c>
          <w:tcPr>
            <w:tcW w:w="620"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二级指标</w:t>
            </w:r>
          </w:p>
        </w:tc>
        <w:tc>
          <w:tcPr>
            <w:tcW w:w="38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三级指标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目标值</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w:t>
            </w:r>
          </w:p>
        </w:tc>
        <w:tc>
          <w:tcPr>
            <w:tcW w:w="405"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30</w:t>
            </w:r>
          </w:p>
        </w:tc>
        <w:tc>
          <w:tcPr>
            <w:tcW w:w="620"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产出数量</w:t>
            </w:r>
          </w:p>
        </w:tc>
        <w:tc>
          <w:tcPr>
            <w:tcW w:w="388"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16</w:t>
            </w: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康养驿站主楼改造完成率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公共厕所改造完成率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新建消防水池完成率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民宿改造完成率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生态停车场完成率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绿化景观改造完成率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新建民宿完成率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给水污水管网改造完成率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lang w:eastAsia="zh-CN"/>
              </w:rPr>
            </w:pPr>
          </w:p>
        </w:tc>
        <w:tc>
          <w:tcPr>
            <w:tcW w:w="620"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产出质量</w:t>
            </w:r>
          </w:p>
        </w:tc>
        <w:tc>
          <w:tcPr>
            <w:tcW w:w="38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工程质量达标率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产出时效</w:t>
            </w:r>
          </w:p>
        </w:tc>
        <w:tc>
          <w:tcPr>
            <w:tcW w:w="38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完工及时率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及时</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1"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405"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620"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产出成本</w:t>
            </w:r>
          </w:p>
        </w:tc>
        <w:tc>
          <w:tcPr>
            <w:tcW w:w="38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c>
          <w:tcPr>
            <w:tcW w:w="209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费用节余率</w:t>
            </w:r>
          </w:p>
        </w:tc>
        <w:tc>
          <w:tcPr>
            <w:tcW w:w="442"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节余</w:t>
            </w:r>
          </w:p>
        </w:tc>
        <w:tc>
          <w:tcPr>
            <w:tcW w:w="442"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r>
      <w:bookmarkEnd w:id="114"/>
    </w:tbl>
    <w:p>
      <w:pPr>
        <w:widowControl w:val="0"/>
        <w:ind w:firstLine="640"/>
        <w:rPr>
          <w:lang w:eastAsia="zh-CN"/>
        </w:rPr>
      </w:pPr>
      <w:r>
        <w:rPr>
          <w:rFonts w:hint="eastAsia"/>
          <w:lang w:eastAsia="zh-CN"/>
        </w:rPr>
        <w:t>康养驿站主楼改造完成率衡量项目实施后，实际康养驿站主楼改造面积与计划改造面积的比率，用以反映和考核项目产出数量目标的实现程度。</w:t>
      </w:r>
    </w:p>
    <w:p>
      <w:pPr>
        <w:widowControl w:val="0"/>
        <w:ind w:firstLine="640"/>
        <w:rPr>
          <w:lang w:eastAsia="zh-CN"/>
        </w:rPr>
      </w:pPr>
      <w:bookmarkStart w:id="115" w:name="_Hlk152836058"/>
      <w:r>
        <w:rPr>
          <w:rFonts w:hint="eastAsia"/>
          <w:lang w:eastAsia="zh-CN"/>
        </w:rPr>
        <w:t>公共厕所改造完成率衡量项目实施后，实际公厕改造面积和计划改造面积的比率，用以反映和考核项目产出数量目标的实现程度。</w:t>
      </w:r>
    </w:p>
    <w:bookmarkEnd w:id="115"/>
    <w:p>
      <w:pPr>
        <w:widowControl w:val="0"/>
        <w:ind w:firstLine="640"/>
        <w:rPr>
          <w:lang w:eastAsia="zh-CN"/>
        </w:rPr>
      </w:pPr>
      <w:r>
        <w:rPr>
          <w:rFonts w:hint="eastAsia"/>
          <w:lang w:eastAsia="zh-CN"/>
        </w:rPr>
        <w:t>新建消防水池完成率衡量项目实施后，实际新建消防水池体积与计划新建体积的比率，用以反映和考核项目产出数量目标的实现程度。</w:t>
      </w:r>
    </w:p>
    <w:p>
      <w:pPr>
        <w:widowControl w:val="0"/>
        <w:ind w:firstLine="640"/>
        <w:rPr>
          <w:lang w:eastAsia="zh-CN"/>
        </w:rPr>
      </w:pPr>
      <w:r>
        <w:rPr>
          <w:rFonts w:hint="eastAsia"/>
          <w:lang w:eastAsia="zh-CN"/>
        </w:rPr>
        <w:t>民宿改造完成率衡量项目实施后，实际改造民宿数量与计划改造民宿数量的比率，用以反映和考核项目产出数量目标的实现程度。</w:t>
      </w:r>
    </w:p>
    <w:p>
      <w:pPr>
        <w:widowControl w:val="0"/>
        <w:ind w:firstLine="640"/>
        <w:rPr>
          <w:lang w:eastAsia="zh-CN"/>
        </w:rPr>
      </w:pPr>
      <w:r>
        <w:rPr>
          <w:rFonts w:hint="eastAsia"/>
          <w:lang w:eastAsia="zh-CN"/>
        </w:rPr>
        <w:t>生态停车场完成率衡量项目实施后，实际生态停车场改造面积和计划改造面积的比率，用以反映和考核项目产出数量目标的实现程度。</w:t>
      </w:r>
    </w:p>
    <w:p>
      <w:pPr>
        <w:widowControl w:val="0"/>
        <w:ind w:firstLine="640"/>
        <w:rPr>
          <w:lang w:eastAsia="zh-CN"/>
        </w:rPr>
      </w:pPr>
      <w:r>
        <w:rPr>
          <w:rFonts w:hint="eastAsia"/>
          <w:lang w:eastAsia="zh-CN"/>
        </w:rPr>
        <w:t>绿化景观改造完成率衡量项目实施后，实际绿化景观改造数量和计划改造数量的比率，用以反映和考核项目产出数量目标的实现程度。</w:t>
      </w:r>
    </w:p>
    <w:p>
      <w:pPr>
        <w:widowControl w:val="0"/>
        <w:ind w:firstLine="640"/>
        <w:rPr>
          <w:lang w:eastAsia="zh-CN"/>
        </w:rPr>
      </w:pPr>
      <w:bookmarkStart w:id="116" w:name="_Hlk152836074"/>
      <w:r>
        <w:rPr>
          <w:rFonts w:hint="eastAsia"/>
          <w:lang w:eastAsia="zh-CN"/>
        </w:rPr>
        <w:t>新建民宿完成率衡量项目实施后，实际新建民宿数量和计划新建民宿数量的比率，用以反映和考核项目产出数量目标的实现程度。</w:t>
      </w:r>
    </w:p>
    <w:bookmarkEnd w:id="116"/>
    <w:p>
      <w:pPr>
        <w:widowControl w:val="0"/>
        <w:ind w:firstLine="640"/>
        <w:rPr>
          <w:lang w:eastAsia="zh-CN"/>
        </w:rPr>
      </w:pPr>
      <w:r>
        <w:rPr>
          <w:rFonts w:hint="eastAsia"/>
          <w:lang w:eastAsia="zh-CN"/>
        </w:rPr>
        <w:t>给水污水管网改造完成率衡量项目实施后，实际给水污水管网改造数量和计划改造数量的比率，用以反映和考核项目产出数量目标的实现程度。</w:t>
      </w:r>
    </w:p>
    <w:bookmarkEnd w:id="111"/>
    <w:p>
      <w:pPr>
        <w:widowControl w:val="0"/>
        <w:ind w:firstLine="640"/>
        <w:rPr>
          <w:lang w:eastAsia="zh-CN"/>
        </w:rPr>
      </w:pPr>
      <w:r>
        <w:rPr>
          <w:rFonts w:hint="eastAsia"/>
          <w:lang w:eastAsia="zh-CN"/>
        </w:rPr>
        <w:t>工程质量达标率衡量项目实施后，工程符合国家质量标准验收合格，用以反映和考核项目产出质量目标的实现程度。</w:t>
      </w:r>
    </w:p>
    <w:p>
      <w:pPr>
        <w:widowControl w:val="0"/>
        <w:ind w:firstLine="640"/>
        <w:rPr>
          <w:lang w:eastAsia="zh-CN"/>
        </w:rPr>
      </w:pPr>
      <w:r>
        <w:rPr>
          <w:rFonts w:hint="eastAsia"/>
          <w:lang w:eastAsia="zh-CN"/>
        </w:rPr>
        <w:t>完工及时率衡量项目实际完工时间与计划完工时间的比较，用以反映和考核项目产出时效目标的实现程度。</w:t>
      </w:r>
    </w:p>
    <w:p>
      <w:pPr>
        <w:widowControl w:val="0"/>
        <w:ind w:firstLine="640"/>
        <w:rPr>
          <w:b/>
          <w:bCs/>
          <w:lang w:eastAsia="zh-CN"/>
        </w:rPr>
      </w:pPr>
      <w:r>
        <w:rPr>
          <w:rFonts w:hint="eastAsia"/>
          <w:lang w:eastAsia="zh-CN"/>
        </w:rPr>
        <w:t>费用节余率衡量完成项目计划工作目标的实际节约费用与总费用的比率，用以反映和考核项目的费用节约程度。</w:t>
      </w:r>
    </w:p>
    <w:p>
      <w:pPr>
        <w:widowControl w:val="0"/>
        <w:ind w:firstLine="640"/>
        <w:rPr>
          <w:lang w:eastAsia="zh-CN"/>
        </w:rPr>
      </w:pPr>
      <w:r>
        <w:rPr>
          <w:rFonts w:hint="eastAsia"/>
          <w:lang w:eastAsia="zh-CN"/>
        </w:rPr>
        <w:t>（4）效益</w:t>
      </w:r>
      <w:r>
        <w:rPr>
          <w:lang w:eastAsia="zh-CN"/>
        </w:rPr>
        <w:t>类指标</w:t>
      </w:r>
      <w:r>
        <w:rPr>
          <w:rFonts w:hint="eastAsia"/>
          <w:lang w:eastAsia="zh-CN"/>
        </w:rPr>
        <w:t>。</w:t>
      </w:r>
      <w:bookmarkEnd w:id="112"/>
    </w:p>
    <w:p>
      <w:pPr>
        <w:pStyle w:val="46"/>
        <w:widowControl w:val="0"/>
        <w:ind w:firstLine="640" w:firstLineChars="200"/>
        <w:jc w:val="both"/>
        <w:outlineLvl w:val="9"/>
        <w:rPr>
          <w:rFonts w:ascii="仿宋" w:hAnsi="仿宋" w:eastAsia="仿宋" w:cs="仿宋"/>
          <w:color w:val="000000" w:themeColor="text1"/>
          <w:sz w:val="32"/>
        </w:rPr>
      </w:pPr>
      <w:r>
        <w:rPr>
          <w:rFonts w:hint="eastAsia" w:ascii="仿宋" w:hAnsi="仿宋" w:eastAsia="仿宋" w:cs="仿宋"/>
          <w:color w:val="000000" w:themeColor="text1"/>
          <w:sz w:val="32"/>
        </w:rPr>
        <w:t>效益类指标下设置经济效益、生态效益、社会效益、可持续影响指标和项目相关人员满意度</w:t>
      </w:r>
      <w:r>
        <w:rPr>
          <w:rFonts w:ascii="仿宋" w:hAnsi="仿宋" w:eastAsia="仿宋" w:cs="仿宋"/>
          <w:color w:val="000000" w:themeColor="text1"/>
          <w:sz w:val="32"/>
        </w:rPr>
        <w:t>5个二级指标，经济效益下设置带动经济的快速发展情况1个三级指标，生态效益下设置区域绿化率增加情况、改善乡村生态环境情况2个三级指标，社会效益下群众生活水平提升情况、乡村面貌改善情况2个三级指标，可持续影响下设长效机制建设完备性1个三级指标，相关人员满意度指标下设置项目区村民满意度1个三级指标。效益类指标分值共计30分。各项指标分值构成情况详见表2-4。</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2</w:t>
      </w:r>
      <w:r>
        <w:rPr>
          <w:rFonts w:hint="eastAsia" w:ascii="黑体" w:hAnsi="黑体" w:eastAsia="黑体" w:cs="黑体"/>
          <w:sz w:val="24"/>
          <w:szCs w:val="24"/>
        </w:rPr>
        <w:t>-4 效益类指标</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0"/>
        <w:gridCol w:w="595"/>
        <w:gridCol w:w="1932"/>
        <w:gridCol w:w="645"/>
        <w:gridCol w:w="2809"/>
        <w:gridCol w:w="710"/>
        <w:gridCol w:w="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58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一级指标</w:t>
            </w:r>
          </w:p>
        </w:tc>
        <w:tc>
          <w:tcPr>
            <w:tcW w:w="35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c>
          <w:tcPr>
            <w:tcW w:w="1159"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二级指标</w:t>
            </w:r>
          </w:p>
        </w:tc>
        <w:tc>
          <w:tcPr>
            <w:tcW w:w="38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三级指标</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目标值</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b/>
                <w:color w:val="000000"/>
                <w:kern w:val="2"/>
                <w:sz w:val="21"/>
                <w:szCs w:val="21"/>
              </w:rPr>
            </w:pPr>
            <w:r>
              <w:rPr>
                <w:rFonts w:hint="eastAsia" w:ascii="宋体" w:hAnsi="宋体" w:eastAsia="宋体" w:cs="宋体"/>
                <w:b/>
                <w:color w:val="000000"/>
                <w:kern w:val="2"/>
                <w:sz w:val="21"/>
                <w:szCs w:val="21"/>
                <w:lang w:eastAsia="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restart"/>
            <w:shd w:val="clear" w:color="FFFFFF" w:fill="FFFFFF"/>
            <w:tcMar>
              <w:top w:w="15" w:type="dxa"/>
              <w:left w:w="15" w:type="dxa"/>
              <w:right w:w="15" w:type="dxa"/>
            </w:tcMar>
            <w:vAlign w:val="center"/>
          </w:tcPr>
          <w:p>
            <w:pPr>
              <w:widowControl w:val="0"/>
              <w:spacing w:line="240" w:lineRule="auto"/>
              <w:ind w:firstLine="210" w:firstLineChars="100"/>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效益</w:t>
            </w:r>
          </w:p>
        </w:tc>
        <w:tc>
          <w:tcPr>
            <w:tcW w:w="357" w:type="pct"/>
            <w:vMerge w:val="restart"/>
            <w:shd w:val="clear" w:color="FFFFFF" w:fill="FFFFFF"/>
            <w:tcMar>
              <w:top w:w="15" w:type="dxa"/>
              <w:left w:w="15" w:type="dxa"/>
              <w:right w:w="15" w:type="dxa"/>
            </w:tcMar>
            <w:vAlign w:val="center"/>
          </w:tcPr>
          <w:p>
            <w:pPr>
              <w:widowControl w:val="0"/>
              <w:spacing w:line="240" w:lineRule="auto"/>
              <w:ind w:firstLine="210" w:firstLineChars="100"/>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30</w:t>
            </w:r>
          </w:p>
        </w:tc>
        <w:tc>
          <w:tcPr>
            <w:tcW w:w="1159"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经济效益</w:t>
            </w:r>
          </w:p>
        </w:tc>
        <w:tc>
          <w:tcPr>
            <w:tcW w:w="38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带动经济的快速发展情况</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带动</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35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p>
        </w:tc>
        <w:tc>
          <w:tcPr>
            <w:tcW w:w="1159"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lang w:eastAsia="zh-CN"/>
              </w:rPr>
              <w:t>生态</w:t>
            </w:r>
            <w:r>
              <w:rPr>
                <w:rFonts w:hint="eastAsia" w:ascii="宋体" w:hAnsi="宋体" w:eastAsia="宋体" w:cs="宋体"/>
                <w:color w:val="000000"/>
                <w:kern w:val="2"/>
                <w:sz w:val="21"/>
                <w:szCs w:val="21"/>
              </w:rPr>
              <w:t>效益</w:t>
            </w:r>
          </w:p>
        </w:tc>
        <w:tc>
          <w:tcPr>
            <w:tcW w:w="387"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6</w:t>
            </w: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区域绿化率增加情况</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增加</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35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159"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38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改善乡村生态环境情况</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改善</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35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159"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r>
              <w:rPr>
                <w:rFonts w:hint="eastAsia" w:ascii="宋体" w:hAnsi="宋体" w:eastAsia="宋体" w:cs="宋体"/>
                <w:color w:val="000000"/>
                <w:kern w:val="2"/>
                <w:sz w:val="21"/>
                <w:szCs w:val="21"/>
              </w:rPr>
              <w:t>社会效益</w:t>
            </w:r>
          </w:p>
        </w:tc>
        <w:tc>
          <w:tcPr>
            <w:tcW w:w="387" w:type="pct"/>
            <w:vMerge w:val="restar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6</w:t>
            </w: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群众生活水平提升情况</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提升</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35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159"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p>
        </w:tc>
        <w:tc>
          <w:tcPr>
            <w:tcW w:w="38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rPr>
            </w:pP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乡村面貌改善情况</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改善</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35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159"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可持续影响</w:t>
            </w:r>
          </w:p>
        </w:tc>
        <w:tc>
          <w:tcPr>
            <w:tcW w:w="38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5</w:t>
            </w: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长效机制建设完备性</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健全</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8"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p>
        </w:tc>
        <w:tc>
          <w:tcPr>
            <w:tcW w:w="357" w:type="pct"/>
            <w:vMerge w:val="continue"/>
            <w:shd w:val="clear" w:color="FFFFFF" w:fill="FFFFFF"/>
            <w:tcMar>
              <w:top w:w="15" w:type="dxa"/>
              <w:left w:w="15" w:type="dxa"/>
              <w:right w:w="15" w:type="dxa"/>
            </w:tcMar>
            <w:vAlign w:val="center"/>
          </w:tcPr>
          <w:p>
            <w:pPr>
              <w:widowControl w:val="0"/>
              <w:spacing w:line="240" w:lineRule="auto"/>
              <w:ind w:firstLine="0" w:firstLineChars="0"/>
              <w:jc w:val="center"/>
              <w:rPr>
                <w:rFonts w:ascii="宋体" w:hAnsi="宋体" w:eastAsia="宋体" w:cs="宋体"/>
                <w:kern w:val="2"/>
                <w:sz w:val="21"/>
                <w:szCs w:val="21"/>
              </w:rPr>
            </w:pPr>
          </w:p>
        </w:tc>
        <w:tc>
          <w:tcPr>
            <w:tcW w:w="1159"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项目相关人员满意度</w:t>
            </w:r>
          </w:p>
        </w:tc>
        <w:tc>
          <w:tcPr>
            <w:tcW w:w="387"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w:t>
            </w:r>
          </w:p>
        </w:tc>
        <w:tc>
          <w:tcPr>
            <w:tcW w:w="1685"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项目区村民满意度</w:t>
            </w:r>
          </w:p>
        </w:tc>
        <w:tc>
          <w:tcPr>
            <w:tcW w:w="426" w:type="pct"/>
            <w:shd w:val="clear" w:color="FFFFFF"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r>
              <w:rPr>
                <w:rFonts w:ascii="宋体" w:hAnsi="宋体" w:eastAsia="宋体" w:cs="宋体"/>
                <w:color w:val="000000"/>
                <w:kern w:val="2"/>
                <w:sz w:val="21"/>
                <w:szCs w:val="21"/>
                <w:lang w:eastAsia="zh-CN"/>
              </w:rPr>
              <w:t>9</w:t>
            </w:r>
            <w:r>
              <w:rPr>
                <w:rFonts w:hint="eastAsia" w:ascii="宋体" w:hAnsi="宋体" w:eastAsia="宋体" w:cs="宋体"/>
                <w:color w:val="000000"/>
                <w:kern w:val="2"/>
                <w:sz w:val="21"/>
                <w:szCs w:val="21"/>
                <w:lang w:eastAsia="zh-CN"/>
              </w:rPr>
              <w:t>5%</w:t>
            </w:r>
          </w:p>
        </w:tc>
        <w:tc>
          <w:tcPr>
            <w:tcW w:w="398" w:type="pct"/>
            <w:shd w:val="clear" w:color="FFFFFF" w:fill="FFFFFF"/>
            <w:tcMar>
              <w:top w:w="15" w:type="dxa"/>
              <w:left w:w="15" w:type="dxa"/>
              <w:right w:w="15" w:type="dxa"/>
            </w:tcMar>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w:t>
            </w:r>
          </w:p>
        </w:tc>
      </w:tr>
    </w:tbl>
    <w:p>
      <w:pPr>
        <w:widowControl w:val="0"/>
        <w:ind w:firstLine="640"/>
        <w:rPr>
          <w:lang w:eastAsia="zh-CN"/>
        </w:rPr>
      </w:pPr>
      <w:r>
        <w:rPr>
          <w:rFonts w:hint="eastAsia"/>
          <w:lang w:eastAsia="zh-CN"/>
        </w:rPr>
        <w:t>带动经济的快速发展情况</w:t>
      </w:r>
      <w:r>
        <w:rPr>
          <w:lang w:eastAsia="zh-CN"/>
        </w:rPr>
        <w:t>衡量</w:t>
      </w:r>
      <w:r>
        <w:rPr>
          <w:rFonts w:hint="eastAsia"/>
          <w:lang w:eastAsia="zh-CN"/>
        </w:rPr>
        <w:t>项目实施后区域经济发展情况，用以反映和考核所产生的经济效益。</w:t>
      </w:r>
    </w:p>
    <w:p>
      <w:pPr>
        <w:widowControl w:val="0"/>
        <w:ind w:firstLine="640"/>
        <w:rPr>
          <w:lang w:eastAsia="zh-CN"/>
        </w:rPr>
      </w:pPr>
      <w:r>
        <w:rPr>
          <w:rFonts w:hint="eastAsia"/>
          <w:lang w:eastAsia="zh-CN"/>
        </w:rPr>
        <w:t>区域绿化率增加情况</w:t>
      </w:r>
      <w:r>
        <w:rPr>
          <w:lang w:eastAsia="zh-CN"/>
        </w:rPr>
        <w:t>衡量</w:t>
      </w:r>
      <w:r>
        <w:rPr>
          <w:rFonts w:hint="eastAsia"/>
          <w:lang w:eastAsia="zh-CN"/>
        </w:rPr>
        <w:t>项目实施后石渠村绿化增加情况，用以反映和考核所产生的生态效益。</w:t>
      </w:r>
    </w:p>
    <w:p>
      <w:pPr>
        <w:widowControl w:val="0"/>
        <w:ind w:firstLine="640"/>
        <w:rPr>
          <w:lang w:eastAsia="zh-CN"/>
        </w:rPr>
      </w:pPr>
      <w:r>
        <w:rPr>
          <w:rFonts w:hint="eastAsia"/>
          <w:lang w:eastAsia="zh-CN"/>
        </w:rPr>
        <w:t>改善乡村生态环境情况</w:t>
      </w:r>
      <w:r>
        <w:rPr>
          <w:lang w:eastAsia="zh-CN"/>
        </w:rPr>
        <w:t>衡量</w:t>
      </w:r>
      <w:r>
        <w:rPr>
          <w:rFonts w:hint="eastAsia"/>
          <w:lang w:eastAsia="zh-CN"/>
        </w:rPr>
        <w:t>项目实施后石渠村生态环境得到改善，用以反映和考核所产生的生态效益。</w:t>
      </w:r>
    </w:p>
    <w:p>
      <w:pPr>
        <w:widowControl w:val="0"/>
        <w:ind w:firstLine="640"/>
        <w:rPr>
          <w:lang w:eastAsia="zh-CN"/>
        </w:rPr>
      </w:pPr>
      <w:r>
        <w:rPr>
          <w:rFonts w:hint="eastAsia"/>
          <w:lang w:eastAsia="zh-CN"/>
        </w:rPr>
        <w:t>群众生活水平提升情况</w:t>
      </w:r>
      <w:r>
        <w:rPr>
          <w:lang w:eastAsia="zh-CN"/>
        </w:rPr>
        <w:t>衡量</w:t>
      </w:r>
      <w:r>
        <w:rPr>
          <w:rFonts w:hint="eastAsia"/>
          <w:lang w:eastAsia="zh-CN"/>
        </w:rPr>
        <w:t>项目实施后人民的生活水平是否提高，用以反映和考核所产生的社会效益。</w:t>
      </w:r>
    </w:p>
    <w:p>
      <w:pPr>
        <w:widowControl w:val="0"/>
        <w:ind w:firstLine="640"/>
        <w:rPr>
          <w:lang w:eastAsia="zh-CN"/>
        </w:rPr>
      </w:pPr>
      <w:r>
        <w:rPr>
          <w:rFonts w:hint="eastAsia"/>
          <w:lang w:eastAsia="zh-CN"/>
        </w:rPr>
        <w:t>乡村面貌改善情况</w:t>
      </w:r>
      <w:r>
        <w:rPr>
          <w:lang w:eastAsia="zh-CN"/>
        </w:rPr>
        <w:t>衡量</w:t>
      </w:r>
      <w:r>
        <w:rPr>
          <w:rFonts w:hint="eastAsia"/>
          <w:lang w:eastAsia="zh-CN"/>
        </w:rPr>
        <w:t>项目实施后，石渠村的整体环境、乡村面貌是否得到改善，用以反映和考核所产生的社会效益。</w:t>
      </w:r>
    </w:p>
    <w:p>
      <w:pPr>
        <w:widowControl w:val="0"/>
        <w:ind w:firstLine="640"/>
        <w:rPr>
          <w:lang w:eastAsia="zh-CN"/>
        </w:rPr>
      </w:pPr>
      <w:r>
        <w:rPr>
          <w:rFonts w:hint="eastAsia"/>
          <w:lang w:eastAsia="zh-CN"/>
        </w:rPr>
        <w:t>长效机制建设完备性衡量项目实施后，改造后的驿站、民宿、停车场及购买的设备等资产后续管理和使用制度有效性所产生的社会效益。</w:t>
      </w:r>
    </w:p>
    <w:p>
      <w:pPr>
        <w:widowControl w:val="0"/>
        <w:ind w:firstLine="640"/>
        <w:rPr>
          <w:lang w:eastAsia="zh-CN"/>
        </w:rPr>
      </w:pPr>
      <w:r>
        <w:rPr>
          <w:rFonts w:hint="eastAsia"/>
          <w:lang w:eastAsia="zh-CN"/>
        </w:rPr>
        <w:t>项目区村民满意度</w:t>
      </w:r>
      <w:r>
        <w:rPr>
          <w:lang w:eastAsia="zh-CN"/>
        </w:rPr>
        <w:t>衡量</w:t>
      </w:r>
      <w:r>
        <w:rPr>
          <w:rFonts w:hint="eastAsia"/>
          <w:lang w:eastAsia="zh-CN"/>
        </w:rPr>
        <w:t>项目区村民对项目实施效果的满意程度。</w:t>
      </w:r>
    </w:p>
    <w:p>
      <w:pPr>
        <w:widowControl w:val="0"/>
        <w:ind w:firstLine="640"/>
        <w:rPr>
          <w:lang w:eastAsia="zh-CN"/>
        </w:rPr>
      </w:pPr>
      <w:r>
        <w:rPr>
          <w:rFonts w:hint="eastAsia"/>
          <w:lang w:eastAsia="zh-CN"/>
        </w:rPr>
        <w:t>石渠村乡村振兴示范村建设项目各项指标定义、评分标准和评分细则说明</w:t>
      </w:r>
      <w:r>
        <w:rPr>
          <w:lang w:eastAsia="zh-CN"/>
        </w:rPr>
        <w:t>详</w:t>
      </w:r>
      <w:r>
        <w:rPr>
          <w:rFonts w:hint="eastAsia"/>
          <w:lang w:eastAsia="zh-CN"/>
        </w:rPr>
        <w:t>见附件3</w:t>
      </w:r>
      <w:r>
        <w:rPr>
          <w:lang w:eastAsia="zh-CN"/>
        </w:rPr>
        <w:t>。</w:t>
      </w:r>
    </w:p>
    <w:bookmarkEnd w:id="106"/>
    <w:p>
      <w:pPr>
        <w:pStyle w:val="6"/>
        <w:keepNext w:val="0"/>
        <w:keepLines w:val="0"/>
        <w:widowControl w:val="0"/>
        <w:ind w:firstLine="643"/>
        <w:rPr>
          <w:lang w:eastAsia="zh-CN"/>
        </w:rPr>
      </w:pPr>
      <w:bookmarkStart w:id="117" w:name="_Toc97086055"/>
      <w:bookmarkStart w:id="118" w:name="_Toc66699959"/>
      <w:r>
        <w:rPr>
          <w:lang w:eastAsia="zh-CN"/>
        </w:rPr>
        <w:t>3</w:t>
      </w:r>
      <w:r>
        <w:rPr>
          <w:rFonts w:hint="eastAsia"/>
          <w:lang w:eastAsia="zh-CN"/>
        </w:rPr>
        <w:t>.评价方法。</w:t>
      </w:r>
    </w:p>
    <w:p>
      <w:pPr>
        <w:widowControl w:val="0"/>
        <w:ind w:firstLine="640"/>
        <w:rPr>
          <w:lang w:eastAsia="zh-CN"/>
        </w:rPr>
      </w:pPr>
      <w:r>
        <w:rPr>
          <w:lang w:eastAsia="zh-CN"/>
        </w:rPr>
        <w:t>本项目绩效评价方法主要采用因素分析法和公众评判法。具体评价方法介绍如下：</w:t>
      </w:r>
    </w:p>
    <w:p>
      <w:pPr>
        <w:widowControl w:val="0"/>
        <w:ind w:firstLine="640"/>
        <w:rPr>
          <w:rFonts w:cs="仿宋"/>
          <w:lang w:eastAsia="zh-CN"/>
        </w:rPr>
      </w:pPr>
      <w:bookmarkStart w:id="119" w:name="_Toc96054845"/>
      <w:bookmarkStart w:id="120" w:name="_Toc91979636"/>
      <w:bookmarkStart w:id="121" w:name="_Toc97086054"/>
      <w:r>
        <w:rPr>
          <w:rFonts w:hint="eastAsia" w:cs="仿宋"/>
          <w:lang w:eastAsia="zh-CN"/>
        </w:rPr>
        <w:t>（1）因素分析法。</w:t>
      </w:r>
    </w:p>
    <w:p>
      <w:pPr>
        <w:widowControl w:val="0"/>
        <w:ind w:firstLine="640"/>
        <w:rPr>
          <w:rFonts w:cs="仿宋"/>
          <w:lang w:eastAsia="zh-CN"/>
        </w:rPr>
      </w:pPr>
      <w:r>
        <w:rPr>
          <w:rFonts w:hint="eastAsia" w:cs="仿宋"/>
          <w:lang w:eastAsia="zh-CN"/>
        </w:rPr>
        <w:t>因素分析法是指通过综合分析影响绩效目标实现、实施效果的内外因素，评价绩效目标实现程度。本次绩效评价具体做法为：梳理影响本项目支出绩效的各项因素，按照决策、过程、产出和效益四个方面的影响程度，制定绩效评价指标体系，然后通过对指标体系中各因素展开分析并进行量化评分，最终综合确定绩效目标实现程度。</w:t>
      </w:r>
    </w:p>
    <w:p>
      <w:pPr>
        <w:widowControl w:val="0"/>
        <w:ind w:firstLine="640"/>
        <w:rPr>
          <w:rFonts w:cs="仿宋"/>
          <w:lang w:eastAsia="zh-CN"/>
        </w:rPr>
      </w:pPr>
      <w:r>
        <w:rPr>
          <w:rFonts w:hint="eastAsia" w:cs="仿宋"/>
          <w:lang w:eastAsia="zh-CN"/>
        </w:rPr>
        <w:t>（2）比较法。</w:t>
      </w:r>
    </w:p>
    <w:p>
      <w:pPr>
        <w:widowControl w:val="0"/>
        <w:ind w:firstLine="640"/>
        <w:rPr>
          <w:rFonts w:cs="仿宋"/>
          <w:lang w:eastAsia="zh-CN"/>
        </w:rPr>
      </w:pPr>
      <w:r>
        <w:rPr>
          <w:rFonts w:hint="eastAsia" w:cs="仿宋"/>
          <w:lang w:eastAsia="zh-CN"/>
        </w:rPr>
        <w:t>比较法是指将实施情况与绩效目标、历史情况、不同部门和地区同类支出情况进行比较，综合分析绩效目标实现程度。本次评价工作中，通过对项目产出、效益与绩效目标、项目实际支出成本与下达的预算资金进行比较，对项目整体完成情况及成本节约率等指标进行考核。</w:t>
      </w:r>
    </w:p>
    <w:p>
      <w:pPr>
        <w:widowControl w:val="0"/>
        <w:ind w:firstLine="640"/>
        <w:rPr>
          <w:rFonts w:cs="仿宋"/>
          <w:lang w:eastAsia="zh-CN"/>
        </w:rPr>
      </w:pPr>
      <w:r>
        <w:rPr>
          <w:rFonts w:hint="eastAsia" w:cs="仿宋"/>
          <w:lang w:eastAsia="zh-CN"/>
        </w:rPr>
        <w:t>（3）成本效益分析法。</w:t>
      </w:r>
    </w:p>
    <w:p>
      <w:pPr>
        <w:widowControl w:val="0"/>
        <w:ind w:firstLine="640"/>
        <w:rPr>
          <w:rFonts w:cs="仿宋"/>
          <w:lang w:eastAsia="zh-CN"/>
        </w:rPr>
      </w:pPr>
      <w:r>
        <w:rPr>
          <w:rFonts w:hint="eastAsia" w:cs="仿宋"/>
          <w:lang w:eastAsia="zh-CN"/>
        </w:rPr>
        <w:t>成本效益分析法是指将投入与产出、效益进行关联性分析的方法。本次评价工作中，通过对项目现阶段的产出效益与资金投入情况进行对比分析，综合评价项目实际运行情况。</w:t>
      </w:r>
    </w:p>
    <w:p>
      <w:pPr>
        <w:widowControl w:val="0"/>
        <w:ind w:firstLine="640"/>
        <w:rPr>
          <w:rFonts w:cs="仿宋"/>
          <w:lang w:eastAsia="zh-CN"/>
        </w:rPr>
      </w:pPr>
      <w:r>
        <w:rPr>
          <w:rFonts w:hint="eastAsia" w:cs="仿宋"/>
          <w:lang w:eastAsia="zh-CN"/>
        </w:rPr>
        <w:t>（4）公众评判法。</w:t>
      </w:r>
    </w:p>
    <w:p>
      <w:pPr>
        <w:widowControl w:val="0"/>
        <w:ind w:firstLine="640"/>
        <w:rPr>
          <w:rFonts w:cs="仿宋"/>
          <w:lang w:eastAsia="zh-CN"/>
        </w:rPr>
      </w:pPr>
      <w:r>
        <w:rPr>
          <w:rFonts w:hint="eastAsia" w:cs="仿宋"/>
          <w:lang w:eastAsia="zh-CN"/>
        </w:rPr>
        <w:t>公众评判法是指通过专家评估、公众问卷及抽样调查等方式进行评判的方法。本次绩效评价具体做法为：现场搜集资料及尽职调查期间，评价组向项目相关方和项目服务对象发放该项目调查问卷，了解其对该项目的具体看法及满意度，综合分析绩效目标实现程度。评价组对安泽县和川镇人民政府相关乡镇工作人员等涉及本项目工作的相关负责人进行访谈，询问其对该项目的看法、项目实施过程中遇到的问题等内容，通过上述两种方式对该项目财政支出效果进行评判，评价绩效目标的实现程度。</w:t>
      </w:r>
    </w:p>
    <w:bookmarkEnd w:id="119"/>
    <w:bookmarkEnd w:id="120"/>
    <w:bookmarkEnd w:id="121"/>
    <w:p>
      <w:pPr>
        <w:pStyle w:val="6"/>
        <w:keepNext w:val="0"/>
        <w:keepLines w:val="0"/>
        <w:widowControl w:val="0"/>
        <w:ind w:firstLine="643"/>
        <w:rPr>
          <w:lang w:eastAsia="zh-CN"/>
        </w:rPr>
      </w:pPr>
      <w:r>
        <w:rPr>
          <w:lang w:eastAsia="zh-CN"/>
        </w:rPr>
        <w:t>4</w:t>
      </w:r>
      <w:r>
        <w:rPr>
          <w:rFonts w:hint="eastAsia"/>
          <w:lang w:eastAsia="zh-CN"/>
        </w:rPr>
        <w:t>.评价标准。</w:t>
      </w:r>
    </w:p>
    <w:p>
      <w:pPr>
        <w:widowControl w:val="0"/>
        <w:ind w:firstLine="640"/>
        <w:rPr>
          <w:lang w:eastAsia="zh-CN"/>
        </w:rPr>
      </w:pPr>
      <w:r>
        <w:rPr>
          <w:rFonts w:hint="eastAsia" w:cs="仿宋"/>
          <w:lang w:eastAsia="zh-CN"/>
        </w:rPr>
        <w:t>评价等次：根据《安泽县财政局关于印发</w:t>
      </w:r>
      <w:r>
        <w:rPr>
          <w:rFonts w:cs="仿宋"/>
          <w:lang w:eastAsia="zh-CN"/>
        </w:rPr>
        <w:t>&lt;2023年度财政重点绩效评价实施方案&gt;的通知》（安财绩〔2023〕5号）文件，此次评价实行百分制，按照综合评分分级：综合评分90分（含）以上为“优”，80分（含）-90分为“良”，60分（含）-80分为“中”，60分以下为“差”。</w:t>
      </w:r>
    </w:p>
    <w:p>
      <w:pPr>
        <w:widowControl w:val="0"/>
        <w:ind w:firstLine="640"/>
        <w:rPr>
          <w:lang w:eastAsia="zh-CN"/>
        </w:rPr>
      </w:pPr>
      <w:r>
        <w:rPr>
          <w:rFonts w:hint="eastAsia"/>
          <w:lang w:eastAsia="zh-CN"/>
        </w:rPr>
        <w:t>评价等次分为优、良、中和差四个评价等级。</w:t>
      </w:r>
    </w:p>
    <w:p>
      <w:pPr>
        <w:pStyle w:val="5"/>
        <w:keepNext w:val="0"/>
        <w:keepLines w:val="0"/>
        <w:widowControl w:val="0"/>
        <w:ind w:firstLine="643"/>
        <w:rPr>
          <w:lang w:eastAsia="zh-CN"/>
        </w:rPr>
      </w:pPr>
      <w:r>
        <w:rPr>
          <w:rFonts w:hint="eastAsia"/>
          <w:lang w:eastAsia="zh-CN"/>
        </w:rPr>
        <w:t>（三）绩效评价工作过程</w:t>
      </w:r>
      <w:bookmarkEnd w:id="117"/>
      <w:bookmarkEnd w:id="118"/>
    </w:p>
    <w:p>
      <w:pPr>
        <w:widowControl w:val="0"/>
        <w:ind w:firstLine="640"/>
        <w:rPr>
          <w:lang w:eastAsia="zh-CN"/>
        </w:rPr>
      </w:pPr>
      <w:r>
        <w:rPr>
          <w:rFonts w:hint="eastAsia"/>
          <w:lang w:eastAsia="zh-CN"/>
        </w:rPr>
        <w:t>评价工作分为评价准备、评价实施、评价报告撰写和提交三个阶段。</w:t>
      </w:r>
    </w:p>
    <w:p>
      <w:pPr>
        <w:widowControl w:val="0"/>
        <w:ind w:firstLine="643"/>
        <w:rPr>
          <w:lang w:eastAsia="zh-CN"/>
        </w:rPr>
      </w:pPr>
      <w:bookmarkStart w:id="122" w:name="_Toc96054847"/>
      <w:bookmarkStart w:id="123" w:name="_Toc97086056"/>
      <w:bookmarkStart w:id="124" w:name="_Toc91979653"/>
      <w:r>
        <w:rPr>
          <w:rFonts w:hint="eastAsia" w:cstheme="majorBidi"/>
          <w:b/>
          <w:bCs/>
          <w:lang w:eastAsia="zh-CN"/>
        </w:rPr>
        <w:t>1.评价准备阶段。</w:t>
      </w:r>
      <w:bookmarkEnd w:id="122"/>
      <w:bookmarkEnd w:id="123"/>
      <w:bookmarkEnd w:id="124"/>
      <w:r>
        <w:rPr>
          <w:rFonts w:hint="eastAsia" w:cstheme="majorBidi"/>
          <w:b/>
          <w:bCs/>
          <w:lang w:eastAsia="zh-CN"/>
        </w:rPr>
        <w:t>（</w:t>
      </w:r>
      <w:r>
        <w:rPr>
          <w:rFonts w:hint="eastAsia"/>
          <w:lang w:eastAsia="zh-CN"/>
        </w:rPr>
        <w:t>202</w:t>
      </w:r>
      <w:r>
        <w:rPr>
          <w:lang w:eastAsia="zh-CN"/>
        </w:rPr>
        <w:t>3</w:t>
      </w:r>
      <w:r>
        <w:rPr>
          <w:rFonts w:hint="eastAsia"/>
          <w:lang w:eastAsia="zh-CN"/>
        </w:rPr>
        <w:t>年</w:t>
      </w:r>
      <w:r>
        <w:rPr>
          <w:lang w:eastAsia="zh-CN"/>
        </w:rPr>
        <w:t>11</w:t>
      </w:r>
      <w:r>
        <w:rPr>
          <w:rFonts w:hint="eastAsia"/>
          <w:lang w:eastAsia="zh-CN"/>
        </w:rPr>
        <w:t>月</w:t>
      </w:r>
      <w:r>
        <w:rPr>
          <w:lang w:eastAsia="zh-CN"/>
        </w:rPr>
        <w:t>6</w:t>
      </w:r>
      <w:r>
        <w:rPr>
          <w:rFonts w:hint="eastAsia"/>
          <w:lang w:eastAsia="zh-CN"/>
        </w:rPr>
        <w:t>日-</w:t>
      </w:r>
      <w:r>
        <w:rPr>
          <w:lang w:eastAsia="zh-CN"/>
        </w:rPr>
        <w:t>11</w:t>
      </w:r>
      <w:r>
        <w:rPr>
          <w:rFonts w:hint="eastAsia"/>
          <w:lang w:eastAsia="zh-CN"/>
        </w:rPr>
        <w:t>月</w:t>
      </w:r>
      <w:r>
        <w:rPr>
          <w:lang w:eastAsia="zh-CN"/>
        </w:rPr>
        <w:t>21</w:t>
      </w:r>
      <w:r>
        <w:rPr>
          <w:rFonts w:hint="eastAsia"/>
          <w:lang w:eastAsia="zh-CN"/>
        </w:rPr>
        <w:t>日）</w:t>
      </w:r>
    </w:p>
    <w:p>
      <w:pPr>
        <w:widowControl w:val="0"/>
        <w:ind w:firstLine="640"/>
        <w:rPr>
          <w:lang w:eastAsia="zh-CN"/>
        </w:rPr>
      </w:pPr>
      <w:r>
        <w:rPr>
          <w:rFonts w:hint="eastAsia"/>
          <w:lang w:eastAsia="zh-CN"/>
        </w:rPr>
        <w:t>（1）了解项目实施单位对被评价项目的管理流程，初步收集被评价项目预算资金批复文件、立项依据、绩效目标等评价资料；</w:t>
      </w:r>
    </w:p>
    <w:p>
      <w:pPr>
        <w:widowControl w:val="0"/>
        <w:ind w:firstLine="640"/>
        <w:rPr>
          <w:lang w:eastAsia="zh-CN"/>
        </w:rPr>
      </w:pPr>
      <w:r>
        <w:rPr>
          <w:rFonts w:hint="eastAsia"/>
          <w:lang w:eastAsia="zh-CN"/>
        </w:rPr>
        <w:t>（2）根据收集的部分评价资料，确定评价指标，制定评价工作底稿内容；</w:t>
      </w:r>
    </w:p>
    <w:p>
      <w:pPr>
        <w:widowControl w:val="0"/>
        <w:ind w:firstLine="640"/>
        <w:rPr>
          <w:lang w:eastAsia="zh-CN"/>
        </w:rPr>
      </w:pPr>
      <w:r>
        <w:rPr>
          <w:rFonts w:hint="eastAsia"/>
          <w:lang w:eastAsia="zh-CN"/>
        </w:rPr>
        <w:t>（3）制定评价实施方案，确定评价组成员及分组；</w:t>
      </w:r>
    </w:p>
    <w:p>
      <w:pPr>
        <w:widowControl w:val="0"/>
        <w:ind w:firstLine="640"/>
        <w:rPr>
          <w:lang w:eastAsia="zh-CN"/>
        </w:rPr>
      </w:pPr>
      <w:r>
        <w:rPr>
          <w:rFonts w:hint="eastAsia"/>
          <w:lang w:eastAsia="zh-CN"/>
        </w:rPr>
        <w:t>（4）上报评价实施方案，并根据专家评审意见修改评价方案；</w:t>
      </w:r>
    </w:p>
    <w:p>
      <w:pPr>
        <w:widowControl w:val="0"/>
        <w:ind w:firstLine="640"/>
        <w:rPr>
          <w:lang w:eastAsia="zh-CN"/>
        </w:rPr>
      </w:pPr>
      <w:r>
        <w:rPr>
          <w:rFonts w:hint="eastAsia"/>
          <w:lang w:eastAsia="zh-CN"/>
        </w:rPr>
        <w:t>（5）确定被评价单位需要配合的事项；</w:t>
      </w:r>
    </w:p>
    <w:p>
      <w:pPr>
        <w:widowControl w:val="0"/>
        <w:ind w:firstLine="640"/>
        <w:rPr>
          <w:lang w:eastAsia="zh-CN"/>
        </w:rPr>
      </w:pPr>
      <w:r>
        <w:rPr>
          <w:rFonts w:hint="eastAsia"/>
          <w:lang w:eastAsia="zh-CN"/>
        </w:rPr>
        <w:t>（6）收集整理被评价单位的相关资料。</w:t>
      </w:r>
    </w:p>
    <w:p>
      <w:pPr>
        <w:widowControl w:val="0"/>
        <w:ind w:firstLine="643"/>
        <w:rPr>
          <w:lang w:eastAsia="zh-CN"/>
        </w:rPr>
      </w:pPr>
      <w:bookmarkStart w:id="125" w:name="_Toc91979654"/>
      <w:bookmarkStart w:id="126" w:name="_Toc97086057"/>
      <w:bookmarkStart w:id="127" w:name="_Toc96054848"/>
      <w:r>
        <w:rPr>
          <w:rFonts w:hint="eastAsia"/>
          <w:b/>
          <w:bCs/>
          <w:lang w:eastAsia="zh-CN"/>
        </w:rPr>
        <w:t>2.评价实施阶段。</w:t>
      </w:r>
      <w:bookmarkEnd w:id="125"/>
      <w:bookmarkEnd w:id="126"/>
      <w:bookmarkEnd w:id="127"/>
      <w:r>
        <w:rPr>
          <w:rFonts w:hint="eastAsia"/>
          <w:lang w:eastAsia="zh-CN"/>
        </w:rPr>
        <w:t>（202</w:t>
      </w:r>
      <w:r>
        <w:rPr>
          <w:lang w:eastAsia="zh-CN"/>
        </w:rPr>
        <w:t>3</w:t>
      </w:r>
      <w:r>
        <w:rPr>
          <w:rFonts w:hint="eastAsia"/>
          <w:lang w:eastAsia="zh-CN"/>
        </w:rPr>
        <w:t>年</w:t>
      </w:r>
      <w:r>
        <w:rPr>
          <w:lang w:eastAsia="zh-CN"/>
        </w:rPr>
        <w:t>11</w:t>
      </w:r>
      <w:r>
        <w:rPr>
          <w:rFonts w:hint="eastAsia"/>
          <w:lang w:eastAsia="zh-CN"/>
        </w:rPr>
        <w:t>月</w:t>
      </w:r>
      <w:r>
        <w:rPr>
          <w:lang w:eastAsia="zh-CN"/>
        </w:rPr>
        <w:t>22</w:t>
      </w:r>
      <w:r>
        <w:rPr>
          <w:rFonts w:hint="eastAsia"/>
          <w:lang w:eastAsia="zh-CN"/>
        </w:rPr>
        <w:t>日-</w:t>
      </w:r>
      <w:r>
        <w:rPr>
          <w:lang w:eastAsia="zh-CN"/>
        </w:rPr>
        <w:t>11</w:t>
      </w:r>
      <w:r>
        <w:rPr>
          <w:rFonts w:hint="eastAsia"/>
          <w:lang w:eastAsia="zh-CN"/>
        </w:rPr>
        <w:t>月</w:t>
      </w:r>
      <w:r>
        <w:rPr>
          <w:lang w:eastAsia="zh-CN"/>
        </w:rPr>
        <w:t>30</w:t>
      </w:r>
      <w:r>
        <w:rPr>
          <w:rFonts w:hint="eastAsia"/>
          <w:lang w:eastAsia="zh-CN"/>
        </w:rPr>
        <w:t>日）</w:t>
      </w:r>
    </w:p>
    <w:p>
      <w:pPr>
        <w:widowControl w:val="0"/>
        <w:ind w:firstLine="640"/>
        <w:rPr>
          <w:lang w:eastAsia="zh-CN"/>
        </w:rPr>
      </w:pPr>
      <w:r>
        <w:rPr>
          <w:rFonts w:hint="eastAsia"/>
          <w:lang w:eastAsia="zh-CN"/>
        </w:rPr>
        <w:t>（1）评价组在全面收集评价资料的基础上，根据经审核后的评价实施方案，对已收集的资料进行分类整理、审核和分析；</w:t>
      </w:r>
    </w:p>
    <w:p>
      <w:pPr>
        <w:widowControl w:val="0"/>
        <w:ind w:firstLine="640"/>
        <w:rPr>
          <w:lang w:eastAsia="zh-CN"/>
        </w:rPr>
      </w:pPr>
      <w:r>
        <w:rPr>
          <w:rFonts w:hint="eastAsia"/>
          <w:lang w:eastAsia="zh-CN"/>
        </w:rPr>
        <w:t>（2）评价人员向项目相关人员发放问卷调查表，就项目有关情况进行一些访谈，去相关单位实地勘察项目进展情况，尽可能收集了解被评价项目的实际情况；</w:t>
      </w:r>
    </w:p>
    <w:p>
      <w:pPr>
        <w:widowControl w:val="0"/>
        <w:ind w:firstLine="640"/>
        <w:rPr>
          <w:lang w:eastAsia="zh-CN"/>
        </w:rPr>
      </w:pPr>
      <w:r>
        <w:rPr>
          <w:rFonts w:hint="eastAsia"/>
          <w:lang w:eastAsia="zh-CN"/>
        </w:rPr>
        <w:t>（3）根据评价实施方案确定的评价指标、评价权重、评价标准和评价方法，对评价对象的绩效情况进行全面的定量分析和综合评价，形成评价结论；</w:t>
      </w:r>
    </w:p>
    <w:p>
      <w:pPr>
        <w:widowControl w:val="0"/>
        <w:ind w:firstLine="640"/>
        <w:rPr>
          <w:lang w:eastAsia="zh-CN"/>
        </w:rPr>
      </w:pPr>
      <w:r>
        <w:rPr>
          <w:rFonts w:hint="eastAsia"/>
          <w:lang w:eastAsia="zh-CN"/>
        </w:rPr>
        <w:t>（4）就初步评价结论与被评价单位交换意见。</w:t>
      </w:r>
    </w:p>
    <w:p>
      <w:pPr>
        <w:widowControl w:val="0"/>
        <w:ind w:firstLine="643"/>
        <w:rPr>
          <w:lang w:eastAsia="zh-CN"/>
        </w:rPr>
      </w:pPr>
      <w:bookmarkStart w:id="128" w:name="_Toc91979655"/>
      <w:bookmarkStart w:id="129" w:name="_Toc96054849"/>
      <w:bookmarkStart w:id="130" w:name="_Toc97086058"/>
      <w:r>
        <w:rPr>
          <w:rStyle w:val="34"/>
          <w:rFonts w:hint="eastAsia"/>
          <w:lang w:eastAsia="zh-CN"/>
        </w:rPr>
        <w:t>3.评价报告撰写提交阶段。</w:t>
      </w:r>
      <w:bookmarkEnd w:id="128"/>
      <w:bookmarkEnd w:id="129"/>
      <w:bookmarkEnd w:id="130"/>
      <w:r>
        <w:rPr>
          <w:rFonts w:hint="eastAsia"/>
          <w:lang w:eastAsia="zh-CN"/>
        </w:rPr>
        <w:t>（202</w:t>
      </w:r>
      <w:r>
        <w:rPr>
          <w:lang w:eastAsia="zh-CN"/>
        </w:rPr>
        <w:t>3</w:t>
      </w:r>
      <w:r>
        <w:rPr>
          <w:rFonts w:hint="eastAsia"/>
          <w:lang w:eastAsia="zh-CN"/>
        </w:rPr>
        <w:t>年</w:t>
      </w:r>
      <w:r>
        <w:rPr>
          <w:lang w:eastAsia="zh-CN"/>
        </w:rPr>
        <w:t>12</w:t>
      </w:r>
      <w:r>
        <w:rPr>
          <w:rFonts w:hint="eastAsia"/>
          <w:lang w:eastAsia="zh-CN"/>
        </w:rPr>
        <w:t>月</w:t>
      </w:r>
      <w:r>
        <w:rPr>
          <w:lang w:eastAsia="zh-CN"/>
        </w:rPr>
        <w:t>1</w:t>
      </w:r>
      <w:r>
        <w:rPr>
          <w:rFonts w:hint="eastAsia"/>
          <w:lang w:eastAsia="zh-CN"/>
        </w:rPr>
        <w:t>日-202</w:t>
      </w:r>
      <w:r>
        <w:rPr>
          <w:lang w:eastAsia="zh-CN"/>
        </w:rPr>
        <w:t>3</w:t>
      </w:r>
      <w:r>
        <w:rPr>
          <w:rFonts w:hint="eastAsia"/>
          <w:lang w:eastAsia="zh-CN"/>
        </w:rPr>
        <w:t>年</w:t>
      </w:r>
      <w:r>
        <w:rPr>
          <w:lang w:eastAsia="zh-CN"/>
        </w:rPr>
        <w:t>12</w:t>
      </w:r>
      <w:r>
        <w:rPr>
          <w:rFonts w:hint="eastAsia"/>
          <w:lang w:eastAsia="zh-CN"/>
        </w:rPr>
        <w:t>月</w:t>
      </w:r>
      <w:r>
        <w:rPr>
          <w:lang w:eastAsia="zh-CN"/>
        </w:rPr>
        <w:t>22</w:t>
      </w:r>
      <w:r>
        <w:rPr>
          <w:rFonts w:hint="eastAsia"/>
          <w:lang w:eastAsia="zh-CN"/>
        </w:rPr>
        <w:t>日）</w:t>
      </w:r>
    </w:p>
    <w:p>
      <w:pPr>
        <w:widowControl w:val="0"/>
        <w:ind w:firstLine="640"/>
        <w:rPr>
          <w:lang w:eastAsia="zh-CN"/>
        </w:rPr>
      </w:pPr>
      <w:r>
        <w:rPr>
          <w:rFonts w:hint="eastAsia"/>
          <w:lang w:eastAsia="zh-CN"/>
        </w:rPr>
        <w:t>（1）评价人员根据有关规定，整理、综合分析项目相关信息，撰写绩效评价报告并提交给委托方；</w:t>
      </w:r>
    </w:p>
    <w:p>
      <w:pPr>
        <w:widowControl w:val="0"/>
        <w:ind w:firstLine="640"/>
        <w:rPr>
          <w:lang w:eastAsia="zh-CN"/>
        </w:rPr>
      </w:pPr>
      <w:r>
        <w:rPr>
          <w:rFonts w:hint="eastAsia"/>
          <w:lang w:eastAsia="zh-CN"/>
        </w:rPr>
        <w:t>（2）评价组在征求相关部门、单位意见后，对报告进行修改完善，于</w:t>
      </w:r>
      <w:r>
        <w:rPr>
          <w:lang w:eastAsia="zh-CN"/>
        </w:rPr>
        <w:t>12</w:t>
      </w:r>
      <w:r>
        <w:rPr>
          <w:rFonts w:hint="eastAsia"/>
          <w:lang w:eastAsia="zh-CN"/>
        </w:rPr>
        <w:t>月</w:t>
      </w:r>
      <w:r>
        <w:rPr>
          <w:lang w:eastAsia="zh-CN"/>
        </w:rPr>
        <w:t>6</w:t>
      </w:r>
      <w:r>
        <w:rPr>
          <w:rFonts w:hint="eastAsia"/>
          <w:lang w:eastAsia="zh-CN"/>
        </w:rPr>
        <w:t>日前将评价报告报送</w:t>
      </w:r>
      <w:r>
        <w:rPr>
          <w:lang w:eastAsia="zh-CN"/>
        </w:rPr>
        <w:t>安泽县</w:t>
      </w:r>
      <w:r>
        <w:rPr>
          <w:rFonts w:hint="eastAsia"/>
          <w:lang w:eastAsia="zh-CN"/>
        </w:rPr>
        <w:t>财政局预算</w:t>
      </w:r>
      <w:r>
        <w:rPr>
          <w:lang w:eastAsia="zh-CN"/>
        </w:rPr>
        <w:t>评价小组</w:t>
      </w:r>
      <w:r>
        <w:rPr>
          <w:rFonts w:hint="eastAsia"/>
          <w:lang w:eastAsia="zh-CN"/>
        </w:rPr>
        <w:t>；</w:t>
      </w:r>
    </w:p>
    <w:p>
      <w:pPr>
        <w:widowControl w:val="0"/>
        <w:ind w:firstLine="640"/>
        <w:rPr>
          <w:lang w:eastAsia="zh-CN"/>
        </w:rPr>
      </w:pPr>
      <w:r>
        <w:rPr>
          <w:rFonts w:hint="eastAsia"/>
          <w:lang w:eastAsia="zh-CN"/>
        </w:rPr>
        <w:t>（3）根据评审专家对绩效评价报告的审核意见，评价组修改完善评价报告，于</w:t>
      </w:r>
      <w:r>
        <w:rPr>
          <w:lang w:eastAsia="zh-CN"/>
        </w:rPr>
        <w:t>12</w:t>
      </w:r>
      <w:r>
        <w:rPr>
          <w:rFonts w:hint="eastAsia"/>
          <w:lang w:eastAsia="zh-CN"/>
        </w:rPr>
        <w:t>月</w:t>
      </w:r>
      <w:r>
        <w:rPr>
          <w:lang w:eastAsia="zh-CN"/>
        </w:rPr>
        <w:t>22</w:t>
      </w:r>
      <w:r>
        <w:rPr>
          <w:rFonts w:hint="eastAsia"/>
          <w:lang w:eastAsia="zh-CN"/>
        </w:rPr>
        <w:t>日前提交正式评价报告；</w:t>
      </w:r>
    </w:p>
    <w:p>
      <w:pPr>
        <w:widowControl w:val="0"/>
        <w:ind w:firstLine="640"/>
        <w:rPr>
          <w:lang w:eastAsia="zh-CN"/>
        </w:rPr>
      </w:pPr>
      <w:r>
        <w:rPr>
          <w:rFonts w:hint="eastAsia"/>
          <w:lang w:eastAsia="zh-CN"/>
        </w:rPr>
        <w:t>（4）工作底稿归档。</w:t>
      </w:r>
    </w:p>
    <w:p>
      <w:pPr>
        <w:pStyle w:val="4"/>
        <w:keepNext w:val="0"/>
        <w:keepLines w:val="0"/>
        <w:widowControl w:val="0"/>
        <w:ind w:firstLine="640"/>
        <w:rPr>
          <w:lang w:eastAsia="zh-CN"/>
        </w:rPr>
      </w:pPr>
      <w:bookmarkStart w:id="131" w:name="_Toc97086059"/>
      <w:r>
        <w:rPr>
          <w:lang w:eastAsia="zh-CN"/>
        </w:rPr>
        <w:t>三、综合评价情况及评价结论</w:t>
      </w:r>
      <w:bookmarkEnd w:id="131"/>
    </w:p>
    <w:p>
      <w:pPr>
        <w:pStyle w:val="5"/>
        <w:keepNext w:val="0"/>
        <w:keepLines w:val="0"/>
        <w:widowControl w:val="0"/>
        <w:ind w:firstLine="643"/>
        <w:rPr>
          <w:lang w:eastAsia="zh-CN"/>
        </w:rPr>
      </w:pPr>
      <w:bookmarkStart w:id="132" w:name="_Toc96054851"/>
      <w:bookmarkStart w:id="133" w:name="_Toc66699961"/>
      <w:bookmarkStart w:id="134" w:name="_Toc97086060"/>
      <w:bookmarkStart w:id="135" w:name="_Hlk152840530"/>
      <w:r>
        <w:rPr>
          <w:rFonts w:hint="eastAsia"/>
          <w:lang w:eastAsia="zh-CN"/>
        </w:rPr>
        <w:t>（一）总体评分结果</w:t>
      </w:r>
      <w:bookmarkEnd w:id="132"/>
      <w:bookmarkEnd w:id="133"/>
      <w:bookmarkEnd w:id="134"/>
      <w:bookmarkStart w:id="136" w:name="_Hlk152853953"/>
      <w:r>
        <w:rPr>
          <w:rFonts w:hint="eastAsia"/>
          <w:lang w:eastAsia="zh-CN"/>
        </w:rPr>
        <w:t>及评价结论</w:t>
      </w:r>
    </w:p>
    <w:bookmarkEnd w:id="135"/>
    <w:bookmarkEnd w:id="136"/>
    <w:p>
      <w:pPr>
        <w:widowControl w:val="0"/>
        <w:ind w:firstLine="643"/>
        <w:outlineLvl w:val="2"/>
        <w:rPr>
          <w:b/>
          <w:lang w:eastAsia="zh-CN"/>
        </w:rPr>
      </w:pPr>
      <w:bookmarkStart w:id="137" w:name="_Hlk152853964"/>
      <w:r>
        <w:rPr>
          <w:rFonts w:hint="eastAsia"/>
          <w:b/>
          <w:lang w:eastAsia="zh-CN"/>
        </w:rPr>
        <w:t>1</w:t>
      </w:r>
      <w:r>
        <w:rPr>
          <w:b/>
          <w:lang w:eastAsia="zh-CN"/>
        </w:rPr>
        <w:t>.</w:t>
      </w:r>
      <w:r>
        <w:rPr>
          <w:rFonts w:hint="eastAsia"/>
          <w:b/>
          <w:lang w:eastAsia="zh-CN"/>
        </w:rPr>
        <w:t>总体评分结果。</w:t>
      </w:r>
    </w:p>
    <w:bookmarkEnd w:id="137"/>
    <w:p>
      <w:pPr>
        <w:widowControl w:val="0"/>
        <w:ind w:firstLine="640"/>
        <w:rPr>
          <w:lang w:eastAsia="zh-CN"/>
        </w:rPr>
      </w:pPr>
      <w:r>
        <w:rPr>
          <w:rFonts w:hint="eastAsia"/>
          <w:lang w:eastAsia="zh-CN"/>
        </w:rPr>
        <w:t>依据项目基础信息统计，结合现场调研结果，按照经专家论证通过后的评价指标体系，石渠村乡村振兴示范村建设项目绩效评价综合得分</w:t>
      </w:r>
      <w:r>
        <w:rPr>
          <w:lang w:eastAsia="zh-CN"/>
        </w:rPr>
        <w:t>94</w:t>
      </w:r>
      <w:r>
        <w:rPr>
          <w:rFonts w:hint="eastAsia"/>
          <w:lang w:eastAsia="zh-CN"/>
        </w:rPr>
        <w:t>分，绩效评级为“优”。</w:t>
      </w:r>
      <w:bookmarkStart w:id="138" w:name="_Toc97086061"/>
      <w:bookmarkStart w:id="139" w:name="_Toc96054852"/>
      <w:bookmarkStart w:id="140" w:name="_Toc66699962"/>
    </w:p>
    <w:p>
      <w:pPr>
        <w:widowControl w:val="0"/>
        <w:ind w:firstLine="643"/>
        <w:outlineLvl w:val="2"/>
        <w:rPr>
          <w:b/>
          <w:lang w:eastAsia="zh-CN"/>
        </w:rPr>
      </w:pPr>
      <w:r>
        <w:rPr>
          <w:rFonts w:hint="eastAsia"/>
          <w:b/>
          <w:lang w:eastAsia="zh-CN"/>
        </w:rPr>
        <w:t>2</w:t>
      </w:r>
      <w:r>
        <w:rPr>
          <w:b/>
          <w:lang w:eastAsia="zh-CN"/>
        </w:rPr>
        <w:t>.</w:t>
      </w:r>
      <w:r>
        <w:rPr>
          <w:rFonts w:hint="eastAsia"/>
          <w:b/>
          <w:lang w:eastAsia="zh-CN"/>
        </w:rPr>
        <w:t>总体评价结论</w:t>
      </w:r>
      <w:bookmarkEnd w:id="138"/>
      <w:bookmarkEnd w:id="139"/>
      <w:bookmarkEnd w:id="140"/>
      <w:r>
        <w:rPr>
          <w:rFonts w:hint="eastAsia"/>
          <w:b/>
          <w:lang w:eastAsia="zh-CN"/>
        </w:rPr>
        <w:t>。</w:t>
      </w:r>
    </w:p>
    <w:p>
      <w:pPr>
        <w:widowControl w:val="0"/>
        <w:ind w:firstLine="640"/>
        <w:rPr>
          <w:lang w:eastAsia="zh-CN"/>
        </w:rPr>
      </w:pPr>
      <w:r>
        <w:rPr>
          <w:rFonts w:hint="eastAsia"/>
          <w:lang w:eastAsia="zh-CN"/>
        </w:rPr>
        <w:t>基于以上评价结果，得出以下结论：石渠村乡村振兴示范村建设项目是为了贯彻落实中央、省、市、县关于巩固拓展脱贫攻坚成果同乡村振兴有效衔接有关精神而开展的项目，安泽县和川镇人民政府对石渠村乡村振兴示范村建设工程进行初步设计及概算，并取得安泽县行政审批服务管理局批复同意实施，项目立项依据充分且程序规范，项目资金使用合理规范，截止目前保质保量的完成了示范村建设</w:t>
      </w:r>
      <w:r>
        <w:rPr>
          <w:lang w:eastAsia="zh-CN"/>
        </w:rPr>
        <w:t>，</w:t>
      </w:r>
      <w:r>
        <w:rPr>
          <w:rFonts w:hint="eastAsia"/>
          <w:lang w:eastAsia="zh-CN"/>
        </w:rPr>
        <w:t>增加石渠村绿化率，改善生态环境，提高区域群众生活水平，增加带动区域旅游业发展，促进经济快速发展，并建立了长效机制。但由于对效益目标无法把控量化程度，绩效目标量化指标设置不明确；执行事业单位会计制度，仅有普通财务制度，专项资金管理制度尚待系统完善。</w:t>
      </w:r>
    </w:p>
    <w:p>
      <w:pPr>
        <w:pStyle w:val="5"/>
        <w:keepNext w:val="0"/>
        <w:keepLines w:val="0"/>
        <w:widowControl w:val="0"/>
        <w:ind w:firstLine="643"/>
        <w:rPr>
          <w:lang w:eastAsia="zh-CN"/>
        </w:rPr>
      </w:pPr>
      <w:bookmarkStart w:id="141" w:name="_Hlk152840616"/>
      <w:bookmarkStart w:id="142" w:name="_Toc97086062"/>
      <w:r>
        <w:rPr>
          <w:rFonts w:hint="eastAsia"/>
          <w:lang w:eastAsia="zh-CN"/>
        </w:rPr>
        <w:t>（二）</w:t>
      </w:r>
      <w:bookmarkStart w:id="143" w:name="_Hlk152854010"/>
      <w:r>
        <w:rPr>
          <w:rFonts w:hint="eastAsia"/>
          <w:lang w:eastAsia="zh-CN"/>
        </w:rPr>
        <w:t>各项目评分结果</w:t>
      </w:r>
    </w:p>
    <w:bookmarkEnd w:id="141"/>
    <w:bookmarkEnd w:id="143"/>
    <w:p>
      <w:pPr>
        <w:widowControl w:val="0"/>
        <w:ind w:firstLine="640"/>
        <w:rPr>
          <w:lang w:eastAsia="zh-CN"/>
        </w:rPr>
      </w:pPr>
      <w:r>
        <w:rPr>
          <w:rFonts w:hint="eastAsia"/>
          <w:lang w:eastAsia="zh-CN"/>
        </w:rPr>
        <w:t>决策类指标得分</w:t>
      </w:r>
      <w:r>
        <w:rPr>
          <w:lang w:eastAsia="zh-CN"/>
        </w:rPr>
        <w:t>18</w:t>
      </w:r>
      <w:r>
        <w:rPr>
          <w:rFonts w:hint="eastAsia"/>
          <w:lang w:eastAsia="zh-CN"/>
        </w:rPr>
        <w:t>分，得分率为</w:t>
      </w:r>
      <w:r>
        <w:rPr>
          <w:lang w:eastAsia="zh-CN"/>
        </w:rPr>
        <w:t>90%</w:t>
      </w:r>
      <w:r>
        <w:rPr>
          <w:rFonts w:hint="eastAsia"/>
          <w:lang w:eastAsia="zh-CN"/>
        </w:rPr>
        <w:t>；过程类指标得分</w:t>
      </w:r>
      <w:r>
        <w:rPr>
          <w:lang w:eastAsia="zh-CN"/>
        </w:rPr>
        <w:t>18</w:t>
      </w:r>
      <w:r>
        <w:rPr>
          <w:rFonts w:hint="eastAsia"/>
          <w:lang w:eastAsia="zh-CN"/>
        </w:rPr>
        <w:t>分，得分率为</w:t>
      </w:r>
      <w:r>
        <w:rPr>
          <w:lang w:eastAsia="zh-CN"/>
        </w:rPr>
        <w:t>90%</w:t>
      </w:r>
      <w:r>
        <w:rPr>
          <w:rFonts w:hint="eastAsia"/>
          <w:lang w:eastAsia="zh-CN"/>
        </w:rPr>
        <w:t>；产出类指标得分</w:t>
      </w:r>
      <w:r>
        <w:rPr>
          <w:lang w:eastAsia="zh-CN"/>
        </w:rPr>
        <w:t>30</w:t>
      </w:r>
      <w:r>
        <w:rPr>
          <w:rFonts w:hint="eastAsia"/>
          <w:lang w:eastAsia="zh-CN"/>
        </w:rPr>
        <w:t>分，得分率为</w:t>
      </w:r>
      <w:r>
        <w:rPr>
          <w:lang w:eastAsia="zh-CN"/>
        </w:rPr>
        <w:t>100%</w:t>
      </w:r>
      <w:r>
        <w:rPr>
          <w:rFonts w:hint="eastAsia"/>
          <w:lang w:eastAsia="zh-CN"/>
        </w:rPr>
        <w:t>；效益类指标得分2</w:t>
      </w:r>
      <w:r>
        <w:rPr>
          <w:lang w:eastAsia="zh-CN"/>
        </w:rPr>
        <w:t>8</w:t>
      </w:r>
      <w:r>
        <w:rPr>
          <w:rFonts w:hint="eastAsia"/>
          <w:lang w:eastAsia="zh-CN"/>
        </w:rPr>
        <w:t>分，得分率为</w:t>
      </w:r>
      <w:r>
        <w:rPr>
          <w:lang w:eastAsia="zh-CN"/>
        </w:rPr>
        <w:t>93.33%</w:t>
      </w:r>
      <w:r>
        <w:rPr>
          <w:rFonts w:hint="eastAsia"/>
          <w:lang w:eastAsia="zh-CN"/>
        </w:rPr>
        <w:t>。石渠村乡村振兴示范村建设项目绩效评价得分情况见表</w:t>
      </w:r>
      <w:r>
        <w:rPr>
          <w:lang w:eastAsia="zh-CN"/>
        </w:rPr>
        <w:t>3-1</w:t>
      </w:r>
      <w:r>
        <w:rPr>
          <w:rFonts w:hint="eastAsia"/>
          <w:lang w:eastAsia="zh-CN"/>
        </w:rPr>
        <w:t>。</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表3-1 石渠村乡村振兴示范村建设项目综合绩效评价得分情况表</w:t>
      </w:r>
    </w:p>
    <w:tbl>
      <w:tblPr>
        <w:tblStyle w:val="23"/>
        <w:tblW w:w="8819" w:type="dxa"/>
        <w:jc w:val="center"/>
        <w:tblLayout w:type="fixed"/>
        <w:tblCellMar>
          <w:top w:w="0" w:type="dxa"/>
          <w:left w:w="108" w:type="dxa"/>
          <w:bottom w:w="0" w:type="dxa"/>
          <w:right w:w="108" w:type="dxa"/>
        </w:tblCellMar>
      </w:tblPr>
      <w:tblGrid>
        <w:gridCol w:w="2204"/>
        <w:gridCol w:w="2204"/>
        <w:gridCol w:w="2204"/>
        <w:gridCol w:w="2207"/>
      </w:tblGrid>
      <w:tr>
        <w:tblPrEx>
          <w:tblCellMar>
            <w:top w:w="0" w:type="dxa"/>
            <w:left w:w="108" w:type="dxa"/>
            <w:bottom w:w="0" w:type="dxa"/>
            <w:right w:w="108" w:type="dxa"/>
          </w:tblCellMar>
        </w:tblPrEx>
        <w:trPr>
          <w:trHeight w:val="397" w:hRule="atLeast"/>
          <w:tblHeader/>
          <w:jc w:val="center"/>
        </w:trPr>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评价指标</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权重</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评价得分</w:t>
            </w:r>
          </w:p>
        </w:tc>
        <w:tc>
          <w:tcPr>
            <w:tcW w:w="2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评价分值占比</w:t>
            </w:r>
          </w:p>
        </w:tc>
      </w:tr>
      <w:tr>
        <w:tblPrEx>
          <w:tblCellMar>
            <w:top w:w="0" w:type="dxa"/>
            <w:left w:w="108" w:type="dxa"/>
            <w:bottom w:w="0" w:type="dxa"/>
            <w:right w:w="108" w:type="dxa"/>
          </w:tblCellMar>
        </w:tblPrEx>
        <w:trPr>
          <w:trHeight w:val="397" w:hRule="atLeast"/>
          <w:jc w:val="center"/>
        </w:trPr>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决策</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18</w:t>
            </w:r>
          </w:p>
        </w:tc>
        <w:tc>
          <w:tcPr>
            <w:tcW w:w="2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90</w:t>
            </w:r>
            <w:r>
              <w:rPr>
                <w:rFonts w:hint="eastAsia" w:ascii="宋体" w:hAnsi="宋体" w:eastAsia="宋体" w:cs="宋体"/>
                <w:color w:val="000000"/>
                <w:sz w:val="21"/>
                <w:szCs w:val="21"/>
                <w:lang w:eastAsia="zh-CN"/>
              </w:rPr>
              <w:t>%</w:t>
            </w:r>
          </w:p>
        </w:tc>
      </w:tr>
      <w:tr>
        <w:tblPrEx>
          <w:tblCellMar>
            <w:top w:w="0" w:type="dxa"/>
            <w:left w:w="108" w:type="dxa"/>
            <w:bottom w:w="0" w:type="dxa"/>
            <w:right w:w="108" w:type="dxa"/>
          </w:tblCellMar>
        </w:tblPrEx>
        <w:trPr>
          <w:trHeight w:val="397" w:hRule="atLeast"/>
          <w:jc w:val="center"/>
        </w:trPr>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过程</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18</w:t>
            </w:r>
          </w:p>
        </w:tc>
        <w:tc>
          <w:tcPr>
            <w:tcW w:w="2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90</w:t>
            </w:r>
            <w:r>
              <w:rPr>
                <w:rFonts w:hint="eastAsia" w:ascii="宋体" w:hAnsi="宋体" w:eastAsia="宋体" w:cs="宋体"/>
                <w:color w:val="000000"/>
                <w:sz w:val="21"/>
                <w:szCs w:val="21"/>
                <w:lang w:eastAsia="zh-CN"/>
              </w:rPr>
              <w:t>%</w:t>
            </w:r>
          </w:p>
        </w:tc>
      </w:tr>
      <w:tr>
        <w:tblPrEx>
          <w:tblCellMar>
            <w:top w:w="0" w:type="dxa"/>
            <w:left w:w="108" w:type="dxa"/>
            <w:bottom w:w="0" w:type="dxa"/>
            <w:right w:w="108" w:type="dxa"/>
          </w:tblCellMar>
        </w:tblPrEx>
        <w:trPr>
          <w:trHeight w:val="397" w:hRule="atLeast"/>
          <w:jc w:val="center"/>
        </w:trPr>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产出</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30</w:t>
            </w:r>
          </w:p>
        </w:tc>
        <w:tc>
          <w:tcPr>
            <w:tcW w:w="2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100</w:t>
            </w:r>
            <w:r>
              <w:rPr>
                <w:rFonts w:hint="eastAsia" w:ascii="宋体" w:hAnsi="宋体" w:eastAsia="宋体" w:cs="宋体"/>
                <w:color w:val="000000"/>
                <w:sz w:val="21"/>
                <w:szCs w:val="21"/>
                <w:lang w:eastAsia="zh-CN"/>
              </w:rPr>
              <w:t>%</w:t>
            </w:r>
          </w:p>
        </w:tc>
      </w:tr>
      <w:tr>
        <w:tblPrEx>
          <w:tblCellMar>
            <w:top w:w="0" w:type="dxa"/>
            <w:left w:w="108" w:type="dxa"/>
            <w:bottom w:w="0" w:type="dxa"/>
            <w:right w:w="108" w:type="dxa"/>
          </w:tblCellMar>
        </w:tblPrEx>
        <w:trPr>
          <w:trHeight w:val="397" w:hRule="atLeast"/>
          <w:jc w:val="center"/>
        </w:trPr>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效益</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28</w:t>
            </w:r>
          </w:p>
        </w:tc>
        <w:tc>
          <w:tcPr>
            <w:tcW w:w="2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ascii="宋体" w:hAnsi="宋体" w:eastAsia="宋体" w:cs="宋体"/>
                <w:color w:val="000000"/>
                <w:sz w:val="21"/>
                <w:szCs w:val="21"/>
                <w:lang w:eastAsia="zh-CN"/>
              </w:rPr>
              <w:t>93.33</w:t>
            </w:r>
            <w:r>
              <w:rPr>
                <w:rFonts w:hint="eastAsia" w:ascii="宋体" w:hAnsi="宋体" w:eastAsia="宋体" w:cs="宋体"/>
                <w:color w:val="000000"/>
                <w:sz w:val="21"/>
                <w:szCs w:val="21"/>
                <w:lang w:eastAsia="zh-CN"/>
              </w:rPr>
              <w:t>%</w:t>
            </w:r>
          </w:p>
        </w:tc>
      </w:tr>
      <w:tr>
        <w:tblPrEx>
          <w:tblCellMar>
            <w:top w:w="0" w:type="dxa"/>
            <w:left w:w="108" w:type="dxa"/>
            <w:bottom w:w="0" w:type="dxa"/>
            <w:right w:w="108" w:type="dxa"/>
          </w:tblCellMar>
        </w:tblPrEx>
        <w:trPr>
          <w:trHeight w:val="397" w:hRule="atLeast"/>
          <w:jc w:val="center"/>
        </w:trPr>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sz w:val="21"/>
                <w:szCs w:val="21"/>
              </w:rPr>
            </w:pPr>
            <w:r>
              <w:rPr>
                <w:rFonts w:hint="eastAsia" w:ascii="宋体" w:hAnsi="宋体" w:eastAsia="宋体" w:cs="宋体"/>
                <w:color w:val="000000"/>
                <w:sz w:val="21"/>
                <w:szCs w:val="21"/>
                <w:lang w:eastAsia="zh-CN"/>
              </w:rPr>
              <w:t>综合绩效</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100</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highlight w:val="yellow"/>
                <w:lang w:eastAsia="zh-CN"/>
              </w:rPr>
            </w:pPr>
            <w:r>
              <w:rPr>
                <w:rFonts w:ascii="宋体" w:hAnsi="宋体" w:eastAsia="宋体" w:cs="宋体"/>
                <w:color w:val="000000"/>
                <w:sz w:val="21"/>
                <w:szCs w:val="21"/>
                <w:lang w:eastAsia="zh-CN"/>
              </w:rPr>
              <w:t>94</w:t>
            </w:r>
          </w:p>
        </w:tc>
        <w:tc>
          <w:tcPr>
            <w:tcW w:w="2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uto"/>
              <w:ind w:firstLine="0" w:firstLineChars="0"/>
              <w:jc w:val="center"/>
              <w:textAlignment w:val="center"/>
              <w:rPr>
                <w:rFonts w:ascii="宋体" w:hAnsi="宋体" w:eastAsia="宋体" w:cs="宋体"/>
                <w:color w:val="000000"/>
                <w:sz w:val="21"/>
                <w:szCs w:val="21"/>
                <w:highlight w:val="yellow"/>
                <w:lang w:eastAsia="zh-CN"/>
              </w:rPr>
            </w:pPr>
            <w:r>
              <w:rPr>
                <w:rFonts w:ascii="宋体" w:hAnsi="宋体" w:eastAsia="宋体" w:cs="宋体"/>
                <w:color w:val="000000"/>
                <w:sz w:val="21"/>
                <w:szCs w:val="21"/>
                <w:lang w:eastAsia="zh-CN"/>
              </w:rPr>
              <w:t>94</w:t>
            </w:r>
            <w:r>
              <w:rPr>
                <w:rFonts w:hint="eastAsia" w:ascii="宋体" w:hAnsi="宋体" w:eastAsia="宋体" w:cs="宋体"/>
                <w:color w:val="000000"/>
                <w:sz w:val="21"/>
                <w:szCs w:val="21"/>
                <w:lang w:eastAsia="zh-CN"/>
              </w:rPr>
              <w:t>%</w:t>
            </w:r>
          </w:p>
        </w:tc>
      </w:tr>
    </w:tbl>
    <w:p>
      <w:pPr>
        <w:pStyle w:val="4"/>
        <w:keepNext w:val="0"/>
        <w:keepLines w:val="0"/>
        <w:widowControl w:val="0"/>
        <w:ind w:firstLine="640"/>
        <w:rPr>
          <w:lang w:eastAsia="zh-CN"/>
        </w:rPr>
      </w:pPr>
      <w:r>
        <w:rPr>
          <w:lang w:eastAsia="zh-CN"/>
        </w:rPr>
        <w:t>四、绩效评价指标</w:t>
      </w:r>
      <w:r>
        <w:rPr>
          <w:rFonts w:hint="eastAsia"/>
          <w:lang w:eastAsia="zh-CN"/>
        </w:rPr>
        <w:t>分析</w:t>
      </w:r>
      <w:bookmarkEnd w:id="142"/>
    </w:p>
    <w:p>
      <w:pPr>
        <w:widowControl w:val="0"/>
        <w:ind w:firstLine="640"/>
        <w:rPr>
          <w:lang w:eastAsia="zh-CN"/>
        </w:rPr>
      </w:pPr>
      <w:r>
        <w:rPr>
          <w:rFonts w:hint="eastAsia"/>
          <w:lang w:eastAsia="zh-CN"/>
        </w:rPr>
        <w:t>评价组按照评价工作方案中指标体系与评分标准，对项目纳入评价指标体系的内容从决策、过程、产出及效益等四个方面进行打分、评价。</w:t>
      </w:r>
    </w:p>
    <w:p>
      <w:pPr>
        <w:pStyle w:val="5"/>
        <w:keepNext w:val="0"/>
        <w:keepLines w:val="0"/>
        <w:widowControl w:val="0"/>
        <w:ind w:firstLine="643"/>
        <w:rPr>
          <w:rFonts w:ascii="仿宋_GB2312" w:hAnsi="仿宋_GB2312" w:eastAsia="仿宋_GB2312"/>
          <w:lang w:eastAsia="zh-CN"/>
        </w:rPr>
      </w:pPr>
      <w:bookmarkStart w:id="144" w:name="_Toc97086063"/>
      <w:r>
        <w:rPr>
          <w:lang w:eastAsia="zh-CN"/>
        </w:rPr>
        <w:t>（</w:t>
      </w:r>
      <w:r>
        <w:rPr>
          <w:rFonts w:hint="eastAsia"/>
          <w:lang w:eastAsia="zh-CN"/>
        </w:rPr>
        <w:t>一</w:t>
      </w:r>
      <w:r>
        <w:rPr>
          <w:lang w:eastAsia="zh-CN"/>
        </w:rPr>
        <w:t>）</w:t>
      </w:r>
      <w:r>
        <w:rPr>
          <w:rFonts w:hint="eastAsia"/>
          <w:lang w:eastAsia="zh-CN"/>
        </w:rPr>
        <w:t>项目决策情况</w:t>
      </w:r>
      <w:bookmarkEnd w:id="144"/>
    </w:p>
    <w:p>
      <w:pPr>
        <w:widowControl w:val="0"/>
        <w:ind w:firstLine="640"/>
        <w:rPr>
          <w:lang w:eastAsia="zh-CN"/>
        </w:rPr>
      </w:pPr>
      <w:r>
        <w:rPr>
          <w:rFonts w:hint="eastAsia"/>
          <w:lang w:eastAsia="zh-CN"/>
        </w:rPr>
        <w:t>决策类指标分为项目立项、绩效目标和资金投入</w:t>
      </w:r>
      <w:r>
        <w:rPr>
          <w:lang w:eastAsia="zh-CN"/>
        </w:rPr>
        <w:t>3</w:t>
      </w:r>
      <w:r>
        <w:rPr>
          <w:rFonts w:hint="eastAsia"/>
          <w:lang w:eastAsia="zh-CN"/>
        </w:rPr>
        <w:t>个二级指标，决策类指标分值共计</w:t>
      </w:r>
      <w:r>
        <w:rPr>
          <w:lang w:eastAsia="zh-CN"/>
        </w:rPr>
        <w:t>20</w:t>
      </w:r>
      <w:r>
        <w:rPr>
          <w:rFonts w:hint="eastAsia"/>
          <w:lang w:eastAsia="zh-CN"/>
        </w:rPr>
        <w:t>分，得分1</w:t>
      </w:r>
      <w:r>
        <w:rPr>
          <w:lang w:eastAsia="zh-CN"/>
        </w:rPr>
        <w:t>8</w:t>
      </w:r>
      <w:r>
        <w:rPr>
          <w:rFonts w:hint="eastAsia"/>
          <w:lang w:eastAsia="zh-CN"/>
        </w:rPr>
        <w:t>分，得分率</w:t>
      </w:r>
      <w:r>
        <w:rPr>
          <w:lang w:eastAsia="zh-CN"/>
        </w:rPr>
        <w:t>90%</w:t>
      </w:r>
      <w:r>
        <w:rPr>
          <w:rFonts w:hint="eastAsia"/>
          <w:lang w:eastAsia="zh-CN"/>
        </w:rPr>
        <w:t>。项目立项方面，石渠村乡村振兴示范村建设项目是为了贯彻落实中央、省、市、县关于巩固拓展脱贫攻坚成果同乡村振兴有效衔接有关精神而开展的项目，石渠村乡村振兴示范村建设工程进行初步设计及概算并取得安泽县行政审批服务管理局批复同意实施，项目立项依据充分且程序规范；绩效目标设置方面，项目设立了自来水管改造、验收合格率、资金到位及时率、改善石渠村流域环境、长效机制建设完备性、受益人口满意度等方面的绩效目标，且与安泽县和川镇人民政府的宗旨和业务范围相关，但效益目标缺少定量指标；资金投入方面，预算编制科学，资金分配合理。决策类各项指标具体得分情况见表</w:t>
      </w:r>
      <w:r>
        <w:rPr>
          <w:lang w:eastAsia="zh-CN"/>
        </w:rPr>
        <w:t>4-1</w:t>
      </w:r>
      <w:r>
        <w:rPr>
          <w:rFonts w:hint="eastAsia"/>
          <w:lang w:eastAsia="zh-CN"/>
        </w:rPr>
        <w:t>。</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4-1</w:t>
      </w:r>
      <w:r>
        <w:rPr>
          <w:rFonts w:hint="eastAsia" w:ascii="黑体" w:hAnsi="黑体" w:eastAsia="黑体" w:cs="黑体"/>
          <w:sz w:val="24"/>
          <w:szCs w:val="24"/>
        </w:rPr>
        <w:t xml:space="preserve"> 决策类各项指标具体得分情况</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2942"/>
        <w:gridCol w:w="968"/>
        <w:gridCol w:w="96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713"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一级指标</w:t>
            </w:r>
          </w:p>
        </w:tc>
        <w:tc>
          <w:tcPr>
            <w:tcW w:w="713"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二级指标</w:t>
            </w:r>
          </w:p>
        </w:tc>
        <w:tc>
          <w:tcPr>
            <w:tcW w:w="1726"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三级指标</w:t>
            </w:r>
          </w:p>
        </w:tc>
        <w:tc>
          <w:tcPr>
            <w:tcW w:w="568" w:type="pct"/>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权重</w:t>
            </w:r>
          </w:p>
        </w:tc>
        <w:tc>
          <w:tcPr>
            <w:tcW w:w="568"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w:t>
            </w:r>
          </w:p>
        </w:tc>
        <w:tc>
          <w:tcPr>
            <w:tcW w:w="711"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restar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决策</w:t>
            </w:r>
          </w:p>
        </w:tc>
        <w:tc>
          <w:tcPr>
            <w:tcW w:w="713" w:type="pct"/>
            <w:vMerge w:val="restar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项目立项</w:t>
            </w: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立项依据充分性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立项程序规范性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713" w:type="pct"/>
            <w:vMerge w:val="restar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绩效目标</w:t>
            </w: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绩效目标合理性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4</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75</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绩效指标明确性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66.67</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713" w:type="pct"/>
            <w:vMerge w:val="restar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资金投入</w:t>
            </w: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预算编制科学性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713"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资金分配合理性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合计</w:t>
            </w:r>
          </w:p>
        </w:tc>
        <w:tc>
          <w:tcPr>
            <w:tcW w:w="713"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26" w:type="pct"/>
            <w:shd w:val="clear" w:color="auto" w:fill="auto"/>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568" w:type="pct"/>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20</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8</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90%</w:t>
            </w:r>
          </w:p>
        </w:tc>
      </w:tr>
    </w:tbl>
    <w:p>
      <w:pPr>
        <w:widowControl w:val="0"/>
        <w:ind w:firstLine="643"/>
        <w:outlineLvl w:val="2"/>
        <w:rPr>
          <w:b/>
          <w:lang w:eastAsia="zh-CN"/>
        </w:rPr>
      </w:pPr>
      <w:r>
        <w:rPr>
          <w:rFonts w:hint="eastAsia"/>
          <w:b/>
          <w:lang w:eastAsia="zh-CN"/>
        </w:rPr>
        <w:t>1.项目立项情况分析。</w:t>
      </w:r>
    </w:p>
    <w:p>
      <w:pPr>
        <w:widowControl w:val="0"/>
        <w:ind w:firstLine="640"/>
        <w:rPr>
          <w:lang w:eastAsia="zh-CN"/>
        </w:rPr>
      </w:pPr>
      <w:r>
        <w:rPr>
          <w:rFonts w:hint="eastAsia"/>
          <w:lang w:eastAsia="zh-CN"/>
        </w:rPr>
        <w:t>项目立项包括立项依据充分性、立项程序规范性2个指标，权重分为6分，实际得分6分，得分率100%。</w:t>
      </w:r>
    </w:p>
    <w:p>
      <w:pPr>
        <w:widowControl w:val="0"/>
        <w:ind w:firstLine="640"/>
        <w:rPr>
          <w:lang w:eastAsia="zh-CN"/>
        </w:rPr>
      </w:pPr>
      <w:r>
        <w:rPr>
          <w:rFonts w:hint="eastAsia"/>
          <w:lang w:eastAsia="zh-CN"/>
        </w:rPr>
        <w:t>（1）立项依据充分性（3分）：</w:t>
      </w:r>
      <w:r>
        <w:rPr>
          <w:rFonts w:hint="eastAsia" w:cs="仿宋"/>
          <w:szCs w:val="32"/>
          <w:lang w:eastAsia="zh-CN"/>
        </w:rPr>
        <w:t>中央、省、市均颁布了</w:t>
      </w:r>
      <w:r>
        <w:rPr>
          <w:rFonts w:hint="eastAsia"/>
          <w:lang w:eastAsia="zh-CN"/>
        </w:rPr>
        <w:t>巩固拓展脱贫攻坚成果同乡村振兴有效衔接有关精神文件，安泽县人民政府印发了关于《安泽县2</w:t>
      </w:r>
      <w:r>
        <w:rPr>
          <w:lang w:eastAsia="zh-CN"/>
        </w:rPr>
        <w:t>022</w:t>
      </w:r>
      <w:r>
        <w:rPr>
          <w:rFonts w:hint="eastAsia"/>
          <w:lang w:eastAsia="zh-CN"/>
        </w:rPr>
        <w:t>年统筹</w:t>
      </w:r>
      <w:r>
        <w:rPr>
          <w:rFonts w:hint="eastAsia" w:cs="仿宋"/>
          <w:lang w:eastAsia="zh-CN"/>
        </w:rPr>
        <w:t>整合财政资金巩固拓展脱贫攻坚成果衔接推进乡村振兴的实施方案的通知》（安政农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）文件，</w:t>
      </w:r>
      <w:r>
        <w:rPr>
          <w:rFonts w:hint="eastAsia" w:cs="仿宋"/>
          <w:szCs w:val="32"/>
          <w:lang w:eastAsia="zh-CN"/>
        </w:rPr>
        <w:t>对石渠村进行示范村</w:t>
      </w:r>
      <w:r>
        <w:rPr>
          <w:rFonts w:hint="eastAsia"/>
          <w:lang w:eastAsia="zh-CN"/>
        </w:rPr>
        <w:t>改造，项目立项具有国家、省级相关政策依据，得1分；符合经济社会发展规划和政府决策及安泽县乡村振兴战略规划，得1分；项目主要实施内容是</w:t>
      </w:r>
      <w:r>
        <w:rPr>
          <w:rFonts w:hint="eastAsia" w:cs="仿宋"/>
          <w:szCs w:val="32"/>
          <w:lang w:eastAsia="zh-CN"/>
        </w:rPr>
        <w:t>石渠村</w:t>
      </w:r>
      <w:r>
        <w:rPr>
          <w:rFonts w:hint="eastAsia"/>
          <w:lang w:eastAsia="zh-CN"/>
        </w:rPr>
        <w:t>乡村振兴示范村建设，使</w:t>
      </w:r>
      <w:r>
        <w:rPr>
          <w:rFonts w:cs="仿宋"/>
          <w:szCs w:val="32"/>
          <w:lang w:eastAsia="zh-CN"/>
        </w:rPr>
        <w:t>项目区</w:t>
      </w:r>
      <w:r>
        <w:rPr>
          <w:rFonts w:hint="eastAsia" w:cs="仿宋"/>
          <w:szCs w:val="32"/>
          <w:lang w:eastAsia="zh-CN"/>
        </w:rPr>
        <w:t>绿化环境改善</w:t>
      </w:r>
      <w:r>
        <w:rPr>
          <w:rFonts w:cs="仿宋"/>
          <w:szCs w:val="32"/>
          <w:lang w:eastAsia="zh-CN"/>
        </w:rPr>
        <w:t>，</w:t>
      </w:r>
      <w:r>
        <w:rPr>
          <w:rFonts w:hint="eastAsia" w:cs="仿宋"/>
          <w:szCs w:val="32"/>
          <w:lang w:eastAsia="zh-CN"/>
        </w:rPr>
        <w:t>经济发展水平提升，人民生活水平提高属于</w:t>
      </w:r>
      <w:r>
        <w:rPr>
          <w:rFonts w:hint="eastAsia"/>
          <w:lang w:eastAsia="zh-CN"/>
        </w:rPr>
        <w:t>安泽县人民政府职责范围，得1分。综上，该指标满分</w:t>
      </w:r>
      <w:r>
        <w:rPr>
          <w:lang w:eastAsia="zh-CN"/>
        </w:rPr>
        <w:t>3</w:t>
      </w:r>
      <w:r>
        <w:rPr>
          <w:rFonts w:hint="eastAsia"/>
          <w:lang w:eastAsia="zh-CN"/>
        </w:rPr>
        <w:t>分，总得分</w:t>
      </w:r>
      <w:r>
        <w:rPr>
          <w:lang w:eastAsia="zh-CN"/>
        </w:rPr>
        <w:t>3</w:t>
      </w:r>
      <w:r>
        <w:rPr>
          <w:rFonts w:hint="eastAsia"/>
          <w:lang w:eastAsia="zh-CN"/>
        </w:rPr>
        <w:t>分。</w:t>
      </w:r>
    </w:p>
    <w:p>
      <w:pPr>
        <w:widowControl w:val="0"/>
        <w:ind w:firstLine="640"/>
        <w:rPr>
          <w:lang w:eastAsia="zh-CN"/>
        </w:rPr>
      </w:pPr>
      <w:r>
        <w:rPr>
          <w:rFonts w:hint="eastAsia"/>
          <w:lang w:eastAsia="zh-CN"/>
        </w:rPr>
        <w:t>（2）立项程序规范性（3分）：安泽县和川镇人民政府为贯彻落实中央、省、</w:t>
      </w:r>
      <w:r>
        <w:rPr>
          <w:rFonts w:hint="eastAsia"/>
          <w:color w:val="auto"/>
          <w:lang w:eastAsia="zh-CN"/>
        </w:rPr>
        <w:t>市关于巩固拓展脱贫攻坚成果</w:t>
      </w:r>
      <w:r>
        <w:rPr>
          <w:rFonts w:hint="eastAsia" w:cs="仿宋"/>
          <w:color w:val="auto"/>
          <w:lang w:eastAsia="zh-CN"/>
        </w:rPr>
        <w:t>同乡村振兴有效衔接有关精神</w:t>
      </w:r>
      <w:r>
        <w:rPr>
          <w:rFonts w:hint="eastAsia"/>
          <w:color w:val="auto"/>
          <w:lang w:eastAsia="zh-CN"/>
        </w:rPr>
        <w:t>，</w:t>
      </w:r>
      <w:r>
        <w:rPr>
          <w:color w:val="auto"/>
          <w:lang w:eastAsia="zh-CN"/>
        </w:rPr>
        <w:t>结合安泽县实际情况</w:t>
      </w:r>
      <w:r>
        <w:rPr>
          <w:rFonts w:hint="eastAsia"/>
          <w:color w:val="auto"/>
          <w:lang w:eastAsia="zh-CN"/>
        </w:rPr>
        <w:t>制定</w:t>
      </w:r>
      <w:r>
        <w:rPr>
          <w:rFonts w:hint="eastAsia"/>
          <w:lang w:eastAsia="zh-CN"/>
        </w:rPr>
        <w:t>了《安泽县2</w:t>
      </w:r>
      <w:r>
        <w:rPr>
          <w:lang w:eastAsia="zh-CN"/>
        </w:rPr>
        <w:t>022</w:t>
      </w:r>
      <w:r>
        <w:rPr>
          <w:rFonts w:hint="eastAsia"/>
          <w:lang w:eastAsia="zh-CN"/>
        </w:rPr>
        <w:t>年统筹</w:t>
      </w:r>
      <w:r>
        <w:rPr>
          <w:rFonts w:hint="eastAsia" w:cs="仿宋"/>
          <w:lang w:eastAsia="zh-CN"/>
        </w:rPr>
        <w:t>整合财政资金巩固拓展脱贫攻坚成果衔接推进乡村振兴的实施方案的通知》（安政农</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rFonts w:cs="仿宋_GB2312"/>
          <w:szCs w:val="32"/>
          <w:lang w:eastAsia="zh-CN"/>
        </w:rPr>
        <w:t>22</w:t>
      </w:r>
      <w:r>
        <w:rPr>
          <w:rFonts w:hint="eastAsia" w:cs="仿宋_GB2312"/>
          <w:szCs w:val="32"/>
          <w:lang w:eastAsia="zh-CN"/>
        </w:rPr>
        <w:t>号</w:t>
      </w:r>
      <w:r>
        <w:rPr>
          <w:rFonts w:hint="eastAsia" w:cs="仿宋"/>
          <w:lang w:eastAsia="zh-CN"/>
        </w:rPr>
        <w:t>）</w:t>
      </w:r>
      <w:r>
        <w:rPr>
          <w:rFonts w:hint="eastAsia"/>
          <w:lang w:eastAsia="zh-CN"/>
        </w:rPr>
        <w:t>，撰写了安泽县和川镇石渠村乡村振兴示范村建设工程初步设计并取得了《安泽县行政审批服务管理局关于</w:t>
      </w:r>
      <w:bookmarkStart w:id="145" w:name="_Hlk152500883"/>
      <w:r>
        <w:rPr>
          <w:rFonts w:hint="eastAsia"/>
          <w:lang w:eastAsia="zh-CN"/>
        </w:rPr>
        <w:t>安泽县和川镇人民政府安泽县和川镇石渠村乡村振兴示范村建设工程初步设计</w:t>
      </w:r>
      <w:bookmarkEnd w:id="145"/>
      <w:r>
        <w:rPr>
          <w:rFonts w:hint="eastAsia"/>
          <w:lang w:eastAsia="zh-CN"/>
        </w:rPr>
        <w:t>及概算的批复》（安行审发</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lang w:eastAsia="zh-CN"/>
        </w:rPr>
        <w:t>54</w:t>
      </w:r>
      <w:r>
        <w:rPr>
          <w:rFonts w:hint="eastAsia"/>
          <w:lang w:eastAsia="zh-CN"/>
        </w:rPr>
        <w:t>号）文件批复，项目设立，相关立项材料完整，得3分。综上，该指标满分</w:t>
      </w:r>
      <w:r>
        <w:rPr>
          <w:lang w:eastAsia="zh-CN"/>
        </w:rPr>
        <w:t>3</w:t>
      </w:r>
      <w:r>
        <w:rPr>
          <w:rFonts w:hint="eastAsia"/>
          <w:lang w:eastAsia="zh-CN"/>
        </w:rPr>
        <w:t>分，总得分3分。</w:t>
      </w:r>
    </w:p>
    <w:p>
      <w:pPr>
        <w:widowControl w:val="0"/>
        <w:ind w:firstLine="643"/>
        <w:outlineLvl w:val="2"/>
        <w:rPr>
          <w:b/>
          <w:lang w:eastAsia="zh-CN"/>
        </w:rPr>
      </w:pPr>
      <w:r>
        <w:rPr>
          <w:rFonts w:hint="eastAsia"/>
          <w:b/>
          <w:lang w:eastAsia="zh-CN"/>
        </w:rPr>
        <w:t>2.绩效目标设置情况分析。</w:t>
      </w:r>
    </w:p>
    <w:p>
      <w:pPr>
        <w:widowControl w:val="0"/>
        <w:ind w:firstLine="640"/>
        <w:rPr>
          <w:lang w:eastAsia="zh-CN"/>
        </w:rPr>
      </w:pPr>
      <w:r>
        <w:rPr>
          <w:rFonts w:hint="eastAsia"/>
          <w:lang w:eastAsia="zh-CN"/>
        </w:rPr>
        <w:t>绩效目标包括绩效目标合理性、绩效指标明确性2个指标，权重分为7分，实际得分</w:t>
      </w:r>
      <w:r>
        <w:rPr>
          <w:lang w:eastAsia="zh-CN"/>
        </w:rPr>
        <w:t>5</w:t>
      </w:r>
      <w:r>
        <w:rPr>
          <w:rFonts w:hint="eastAsia"/>
          <w:lang w:eastAsia="zh-CN"/>
        </w:rPr>
        <w:t>分，得分率</w:t>
      </w:r>
      <w:r>
        <w:rPr>
          <w:lang w:eastAsia="zh-CN"/>
        </w:rPr>
        <w:t>71.43</w:t>
      </w:r>
      <w:r>
        <w:rPr>
          <w:rFonts w:hint="eastAsia"/>
          <w:lang w:eastAsia="zh-CN"/>
        </w:rPr>
        <w:t>%。</w:t>
      </w:r>
    </w:p>
    <w:p>
      <w:pPr>
        <w:widowControl w:val="0"/>
        <w:ind w:firstLine="640"/>
        <w:rPr>
          <w:lang w:eastAsia="zh-CN"/>
        </w:rPr>
      </w:pPr>
      <w:r>
        <w:rPr>
          <w:rFonts w:hint="eastAsia"/>
          <w:lang w:eastAsia="zh-CN"/>
        </w:rPr>
        <w:t>（1）绩效目标合理性（</w:t>
      </w:r>
      <w:r>
        <w:rPr>
          <w:lang w:eastAsia="zh-CN"/>
        </w:rPr>
        <w:t>4</w:t>
      </w:r>
      <w:r>
        <w:rPr>
          <w:rFonts w:hint="eastAsia"/>
          <w:lang w:eastAsia="zh-CN"/>
        </w:rPr>
        <w:t>分）：项目根据初步设计、施工图设计及安泽县行政审批服务管理局关于安泽县和川镇人民政府安泽县和川镇石渠村乡村振兴示范村建设工程初步设计及概算的批复》（安行审发</w:t>
      </w:r>
      <w:r>
        <w:rPr>
          <w:rFonts w:hint="eastAsia" w:cs="仿宋_GB2312"/>
          <w:szCs w:val="32"/>
          <w:lang w:eastAsia="zh-CN"/>
        </w:rPr>
        <w:t>〔2</w:t>
      </w:r>
      <w:r>
        <w:rPr>
          <w:rFonts w:cs="仿宋_GB2312"/>
          <w:szCs w:val="32"/>
          <w:lang w:eastAsia="zh-CN"/>
        </w:rPr>
        <w:t>022</w:t>
      </w:r>
      <w:r>
        <w:rPr>
          <w:rFonts w:hint="eastAsia" w:cs="仿宋_GB2312"/>
          <w:szCs w:val="32"/>
          <w:lang w:eastAsia="zh-CN"/>
        </w:rPr>
        <w:t>〕</w:t>
      </w:r>
      <w:r>
        <w:rPr>
          <w:lang w:eastAsia="zh-CN"/>
        </w:rPr>
        <w:t>54</w:t>
      </w:r>
      <w:r>
        <w:rPr>
          <w:rFonts w:hint="eastAsia"/>
          <w:lang w:eastAsia="zh-CN"/>
        </w:rPr>
        <w:t>号）等文件要求设立了项目自来水管改造、验收合格率、资金到位及时率等方面的绩效目标，但未设立经济效益，目标设置不全得</w:t>
      </w:r>
      <w:r>
        <w:rPr>
          <w:lang w:eastAsia="zh-CN"/>
        </w:rPr>
        <w:t>0</w:t>
      </w:r>
      <w:r>
        <w:rPr>
          <w:rFonts w:hint="eastAsia"/>
          <w:lang w:eastAsia="zh-CN"/>
        </w:rPr>
        <w:t>分；项目绩效目标与石渠村乡村振兴示范村建设项目具有相关性，得1分；项目产出效益与计划相符，得1分；</w:t>
      </w:r>
      <w:r>
        <w:rPr>
          <w:lang w:eastAsia="zh-CN"/>
        </w:rPr>
        <w:t>项目编制了</w:t>
      </w:r>
      <w:r>
        <w:rPr>
          <w:rFonts w:hint="eastAsia"/>
          <w:lang w:eastAsia="zh-CN"/>
        </w:rPr>
        <w:t>可行性报告、初步设计和施工图设计，</w:t>
      </w:r>
      <w:r>
        <w:rPr>
          <w:lang w:eastAsia="zh-CN"/>
        </w:rPr>
        <w:t>目标与预算资金量相匹配，得1分。</w:t>
      </w:r>
      <w:r>
        <w:rPr>
          <w:rFonts w:hint="eastAsia"/>
          <w:lang w:eastAsia="zh-CN"/>
        </w:rPr>
        <w:t>综上，该指标满分</w:t>
      </w:r>
      <w:r>
        <w:rPr>
          <w:lang w:eastAsia="zh-CN"/>
        </w:rPr>
        <w:t>4</w:t>
      </w:r>
      <w:r>
        <w:rPr>
          <w:rFonts w:hint="eastAsia"/>
          <w:lang w:eastAsia="zh-CN"/>
        </w:rPr>
        <w:t>分，总得分</w:t>
      </w:r>
      <w:r>
        <w:rPr>
          <w:lang w:eastAsia="zh-CN"/>
        </w:rPr>
        <w:t>3</w:t>
      </w:r>
      <w:r>
        <w:rPr>
          <w:rFonts w:hint="eastAsia"/>
          <w:lang w:eastAsia="zh-CN"/>
        </w:rPr>
        <w:t>分。</w:t>
      </w:r>
    </w:p>
    <w:p>
      <w:pPr>
        <w:widowControl w:val="0"/>
        <w:ind w:firstLine="640"/>
        <w:rPr>
          <w:lang w:eastAsia="zh-CN"/>
        </w:rPr>
      </w:pPr>
      <w:r>
        <w:rPr>
          <w:rFonts w:hint="eastAsia"/>
          <w:lang w:eastAsia="zh-CN"/>
        </w:rPr>
        <w:t>（2）绩效指标明确性（</w:t>
      </w:r>
      <w:r>
        <w:rPr>
          <w:lang w:eastAsia="zh-CN"/>
        </w:rPr>
        <w:t>3</w:t>
      </w:r>
      <w:r>
        <w:rPr>
          <w:rFonts w:hint="eastAsia"/>
          <w:lang w:eastAsia="zh-CN"/>
        </w:rPr>
        <w:t>分）：项目绩效目标既有定量指标，也有定性指标，有工程建设方面的，也有社会、经济、生态效益方面的，但部分目标量化程度不足，如改善石渠村流域环境，得</w:t>
      </w:r>
      <w:r>
        <w:rPr>
          <w:lang w:eastAsia="zh-CN"/>
        </w:rPr>
        <w:t>2</w:t>
      </w:r>
      <w:r>
        <w:rPr>
          <w:rFonts w:hint="eastAsia"/>
          <w:lang w:eastAsia="zh-CN"/>
        </w:rPr>
        <w:t>分。综上，该指标满分</w:t>
      </w:r>
      <w:r>
        <w:rPr>
          <w:lang w:eastAsia="zh-CN"/>
        </w:rPr>
        <w:t>3</w:t>
      </w:r>
      <w:r>
        <w:rPr>
          <w:rFonts w:hint="eastAsia"/>
          <w:lang w:eastAsia="zh-CN"/>
        </w:rPr>
        <w:t>分，总得分</w:t>
      </w:r>
      <w:r>
        <w:rPr>
          <w:lang w:eastAsia="zh-CN"/>
        </w:rPr>
        <w:t>2</w:t>
      </w:r>
      <w:r>
        <w:rPr>
          <w:rFonts w:hint="eastAsia"/>
          <w:lang w:eastAsia="zh-CN"/>
        </w:rPr>
        <w:t>分。</w:t>
      </w:r>
    </w:p>
    <w:p>
      <w:pPr>
        <w:widowControl w:val="0"/>
        <w:ind w:firstLine="643"/>
        <w:outlineLvl w:val="2"/>
        <w:rPr>
          <w:b/>
          <w:lang w:eastAsia="zh-CN"/>
        </w:rPr>
      </w:pPr>
      <w:r>
        <w:rPr>
          <w:rFonts w:hint="eastAsia"/>
          <w:b/>
          <w:lang w:eastAsia="zh-CN"/>
        </w:rPr>
        <w:t>3.资金投入情况分析。</w:t>
      </w:r>
    </w:p>
    <w:p>
      <w:pPr>
        <w:widowControl w:val="0"/>
        <w:ind w:firstLine="640"/>
        <w:rPr>
          <w:lang w:eastAsia="zh-CN"/>
        </w:rPr>
      </w:pPr>
      <w:r>
        <w:rPr>
          <w:rFonts w:hint="eastAsia"/>
          <w:lang w:eastAsia="zh-CN"/>
        </w:rPr>
        <w:t>资金投入包括预算编制科学性、资金分配合理性2个指标，权重分为7分，实际得分</w:t>
      </w:r>
      <w:r>
        <w:rPr>
          <w:lang w:eastAsia="zh-CN"/>
        </w:rPr>
        <w:t>7</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1）预算编制科学性（4分）：项目预算经过安泽县财政预算评审中心审批，得1分；项目预算内容符合石渠村乡村振兴示范村建设项目建设内容，得1分；项目预算编制符合安泽县委、县政府的方针政策和工作要求，得1分；</w:t>
      </w:r>
      <w:r>
        <w:rPr>
          <w:lang w:eastAsia="zh-CN"/>
        </w:rPr>
        <w:t>资金额度与</w:t>
      </w:r>
      <w:r>
        <w:rPr>
          <w:rFonts w:hint="eastAsia"/>
          <w:lang w:eastAsia="zh-CN"/>
        </w:rPr>
        <w:t>项目工作任务</w:t>
      </w:r>
      <w:r>
        <w:rPr>
          <w:lang w:eastAsia="zh-CN"/>
        </w:rPr>
        <w:t>相适应，得1分。</w:t>
      </w:r>
      <w:r>
        <w:rPr>
          <w:rFonts w:hint="eastAsia"/>
          <w:lang w:eastAsia="zh-CN"/>
        </w:rPr>
        <w:t>综上，该指标满分4分，得分4分。</w:t>
      </w:r>
    </w:p>
    <w:p>
      <w:pPr>
        <w:widowControl w:val="0"/>
        <w:ind w:firstLine="640"/>
        <w:rPr>
          <w:lang w:eastAsia="zh-CN"/>
        </w:rPr>
      </w:pPr>
      <w:r>
        <w:rPr>
          <w:rFonts w:hint="eastAsia"/>
          <w:lang w:eastAsia="zh-CN"/>
        </w:rPr>
        <w:t>（2）资金分配合理性（3分）：根据《安泽县财政局 安泽县乡村振兴局关于下达2</w:t>
      </w:r>
      <w:r>
        <w:rPr>
          <w:lang w:eastAsia="zh-CN"/>
        </w:rPr>
        <w:t>022</w:t>
      </w:r>
      <w:r>
        <w:rPr>
          <w:rFonts w:hint="eastAsia"/>
          <w:lang w:eastAsia="zh-CN"/>
        </w:rPr>
        <w:t>年第二批统筹整合资金的通知》（安财农〔20</w:t>
      </w:r>
      <w:r>
        <w:rPr>
          <w:lang w:eastAsia="zh-CN"/>
        </w:rPr>
        <w:t>22</w:t>
      </w:r>
      <w:r>
        <w:rPr>
          <w:rFonts w:hint="eastAsia"/>
          <w:lang w:eastAsia="zh-CN"/>
        </w:rPr>
        <w:t>〕1</w:t>
      </w:r>
      <w:r>
        <w:rPr>
          <w:lang w:eastAsia="zh-CN"/>
        </w:rPr>
        <w:t>13</w:t>
      </w:r>
      <w:r>
        <w:rPr>
          <w:rFonts w:hint="eastAsia"/>
          <w:lang w:eastAsia="zh-CN"/>
        </w:rPr>
        <w:t>号）、《安泽县财政局 安泽县乡村振兴局关于下达2</w:t>
      </w:r>
      <w:r>
        <w:rPr>
          <w:lang w:eastAsia="zh-CN"/>
        </w:rPr>
        <w:t>022</w:t>
      </w:r>
      <w:r>
        <w:rPr>
          <w:rFonts w:hint="eastAsia"/>
          <w:lang w:eastAsia="zh-CN"/>
        </w:rPr>
        <w:t>年第二批统筹整合资金的通知》（安财农〔20</w:t>
      </w:r>
      <w:r>
        <w:rPr>
          <w:lang w:eastAsia="zh-CN"/>
        </w:rPr>
        <w:t>22</w:t>
      </w:r>
      <w:r>
        <w:rPr>
          <w:rFonts w:hint="eastAsia"/>
          <w:lang w:eastAsia="zh-CN"/>
        </w:rPr>
        <w:t>〕1</w:t>
      </w:r>
      <w:r>
        <w:rPr>
          <w:lang w:eastAsia="zh-CN"/>
        </w:rPr>
        <w:t>18</w:t>
      </w:r>
      <w:r>
        <w:rPr>
          <w:rFonts w:hint="eastAsia"/>
          <w:lang w:eastAsia="zh-CN"/>
        </w:rPr>
        <w:t>号）预算资金分配文件，对省、县二级资金预算指标额度做出了明确分配，项目编制了可行性报告、初步设计，预算资金分配依据充分，得1</w:t>
      </w:r>
      <w:r>
        <w:rPr>
          <w:lang w:eastAsia="zh-CN"/>
        </w:rPr>
        <w:t>.5</w:t>
      </w:r>
      <w:r>
        <w:rPr>
          <w:rFonts w:hint="eastAsia"/>
          <w:lang w:eastAsia="zh-CN"/>
        </w:rPr>
        <w:t>分；项目实际资金使用情况与预算安排相匹配，资金分配额度合理，保障了示范村工程建设的正常进行，与安泽县和川镇人民政府实际相适应，得1</w:t>
      </w:r>
      <w:r>
        <w:rPr>
          <w:lang w:eastAsia="zh-CN"/>
        </w:rPr>
        <w:t>.5</w:t>
      </w:r>
      <w:r>
        <w:rPr>
          <w:rFonts w:hint="eastAsia"/>
          <w:lang w:eastAsia="zh-CN"/>
        </w:rPr>
        <w:t>分。综上，该指标满分3分，总得分</w:t>
      </w:r>
      <w:r>
        <w:rPr>
          <w:lang w:eastAsia="zh-CN"/>
        </w:rPr>
        <w:t>3</w:t>
      </w:r>
      <w:r>
        <w:rPr>
          <w:rFonts w:hint="eastAsia"/>
          <w:lang w:eastAsia="zh-CN"/>
        </w:rPr>
        <w:t>分。</w:t>
      </w:r>
    </w:p>
    <w:p>
      <w:pPr>
        <w:pStyle w:val="5"/>
        <w:keepNext w:val="0"/>
        <w:keepLines w:val="0"/>
        <w:widowControl w:val="0"/>
        <w:ind w:firstLine="643"/>
        <w:rPr>
          <w:lang w:eastAsia="zh-CN"/>
        </w:rPr>
      </w:pPr>
      <w:bookmarkStart w:id="146" w:name="_Toc66699965"/>
      <w:bookmarkStart w:id="147" w:name="_Toc97086064"/>
      <w:r>
        <w:rPr>
          <w:rFonts w:hint="eastAsia"/>
          <w:lang w:eastAsia="zh-CN"/>
        </w:rPr>
        <w:t>（二）项目过程情况</w:t>
      </w:r>
      <w:bookmarkEnd w:id="146"/>
      <w:bookmarkEnd w:id="147"/>
    </w:p>
    <w:p>
      <w:pPr>
        <w:widowControl w:val="0"/>
        <w:ind w:firstLine="640"/>
        <w:rPr>
          <w:lang w:eastAsia="zh-CN"/>
        </w:rPr>
      </w:pPr>
      <w:r>
        <w:rPr>
          <w:rFonts w:hint="eastAsia"/>
          <w:lang w:eastAsia="zh-CN"/>
        </w:rPr>
        <w:t>过程类指标分为资金管理和组织实施</w:t>
      </w:r>
      <w:r>
        <w:rPr>
          <w:lang w:eastAsia="zh-CN"/>
        </w:rPr>
        <w:t>2</w:t>
      </w:r>
      <w:r>
        <w:rPr>
          <w:rFonts w:hint="eastAsia"/>
          <w:lang w:eastAsia="zh-CN"/>
        </w:rPr>
        <w:t>个二级指标，过程类指标分值共计</w:t>
      </w:r>
      <w:r>
        <w:rPr>
          <w:lang w:eastAsia="zh-CN"/>
        </w:rPr>
        <w:t>20</w:t>
      </w:r>
      <w:r>
        <w:rPr>
          <w:rFonts w:hint="eastAsia"/>
          <w:lang w:eastAsia="zh-CN"/>
        </w:rPr>
        <w:t>分，得分</w:t>
      </w:r>
      <w:r>
        <w:rPr>
          <w:lang w:eastAsia="zh-CN"/>
        </w:rPr>
        <w:t>18</w:t>
      </w:r>
      <w:r>
        <w:rPr>
          <w:rFonts w:hint="eastAsia"/>
          <w:lang w:eastAsia="zh-CN"/>
        </w:rPr>
        <w:t>分，得分率</w:t>
      </w:r>
      <w:r>
        <w:rPr>
          <w:lang w:eastAsia="zh-CN"/>
        </w:rPr>
        <w:t>90</w:t>
      </w:r>
      <w:r>
        <w:rPr>
          <w:rFonts w:hint="eastAsia"/>
          <w:lang w:eastAsia="zh-CN"/>
        </w:rPr>
        <w:t>%。资金管理方面，项目总预算资金为</w:t>
      </w:r>
      <w:r>
        <w:rPr>
          <w:lang w:eastAsia="zh-CN"/>
        </w:rPr>
        <w:t>1250</w:t>
      </w:r>
      <w:r>
        <w:rPr>
          <w:rFonts w:hint="eastAsia"/>
          <w:lang w:eastAsia="zh-CN"/>
        </w:rPr>
        <w:t>万元，安泽县财政局均在收到资金文件当月完成拨付，用于石渠村乡村示范村的建设，资金到位率为</w:t>
      </w:r>
      <w:r>
        <w:rPr>
          <w:lang w:eastAsia="zh-CN"/>
        </w:rPr>
        <w:t>100%</w:t>
      </w:r>
      <w:r>
        <w:rPr>
          <w:rFonts w:hint="eastAsia"/>
          <w:lang w:eastAsia="zh-CN"/>
        </w:rPr>
        <w:t>。截至目前，项目已全部完工并研究，和川镇人民政府共支付款项1</w:t>
      </w:r>
      <w:r>
        <w:rPr>
          <w:lang w:eastAsia="zh-CN"/>
        </w:rPr>
        <w:t>211.25</w:t>
      </w:r>
      <w:r>
        <w:rPr>
          <w:rFonts w:hint="eastAsia"/>
          <w:lang w:eastAsia="zh-CN"/>
        </w:rPr>
        <w:t>万元，预算</w:t>
      </w:r>
      <w:r>
        <w:rPr>
          <w:lang w:eastAsia="zh-CN"/>
        </w:rPr>
        <w:t>执行率96.90%</w:t>
      </w:r>
      <w:r>
        <w:rPr>
          <w:rFonts w:hint="eastAsia"/>
          <w:lang w:eastAsia="zh-CN"/>
        </w:rPr>
        <w:t>，因正进行财务决算，剩余款项在财务决算后支付；组织实施方面，石渠村村委作为和川镇政府和施工、监理单位的沟通桥梁，有问题及时反馈，项目实施过程中相关方严格按照制度执行，但和川镇人民政府未根据实际情况制定项目资金管理制度，不利于对项目资金进行管理和监督。过程类各项指标具体得分情况见表</w:t>
      </w:r>
      <w:r>
        <w:rPr>
          <w:lang w:eastAsia="zh-CN"/>
        </w:rPr>
        <w:t>4-</w:t>
      </w:r>
      <w:r>
        <w:rPr>
          <w:rFonts w:hint="eastAsia"/>
          <w:lang w:eastAsia="zh-CN"/>
        </w:rPr>
        <w:t>2。</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4-</w:t>
      </w:r>
      <w:r>
        <w:rPr>
          <w:rFonts w:hint="eastAsia" w:ascii="黑体" w:hAnsi="黑体" w:eastAsia="黑体" w:cs="黑体"/>
          <w:sz w:val="24"/>
          <w:szCs w:val="24"/>
        </w:rPr>
        <w:t>2 过程类各项指标具体得分情况</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2942"/>
        <w:gridCol w:w="968"/>
        <w:gridCol w:w="96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713"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一级指标</w:t>
            </w:r>
          </w:p>
        </w:tc>
        <w:tc>
          <w:tcPr>
            <w:tcW w:w="713"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二级指标</w:t>
            </w:r>
          </w:p>
        </w:tc>
        <w:tc>
          <w:tcPr>
            <w:tcW w:w="1726"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三级指标</w:t>
            </w:r>
          </w:p>
        </w:tc>
        <w:tc>
          <w:tcPr>
            <w:tcW w:w="568" w:type="pct"/>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权重</w:t>
            </w:r>
          </w:p>
        </w:tc>
        <w:tc>
          <w:tcPr>
            <w:tcW w:w="568"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w:t>
            </w:r>
          </w:p>
        </w:tc>
        <w:tc>
          <w:tcPr>
            <w:tcW w:w="711"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restar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过程</w:t>
            </w:r>
          </w:p>
        </w:tc>
        <w:tc>
          <w:tcPr>
            <w:tcW w:w="713" w:type="pct"/>
            <w:vMerge w:val="restar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资金管理</w:t>
            </w:r>
          </w:p>
        </w:tc>
        <w:tc>
          <w:tcPr>
            <w:tcW w:w="1726"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资金到位及时率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1726"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预算执行率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1726"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资金使用合规性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4</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4</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713" w:type="pct"/>
            <w:vMerge w:val="restar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组织实施</w:t>
            </w:r>
          </w:p>
        </w:tc>
        <w:tc>
          <w:tcPr>
            <w:tcW w:w="1726"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管理制度健全性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6</w:t>
            </w:r>
            <w:r>
              <w:rPr>
                <w:rFonts w:hint="eastAsia" w:ascii="宋体" w:hAnsi="宋体" w:eastAsia="宋体" w:cs="宋体"/>
                <w:color w:val="000000"/>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1726"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制度执行有效性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5</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w:t>
            </w:r>
            <w:r>
              <w:rPr>
                <w:rFonts w:hint="eastAsia" w:ascii="宋体" w:hAnsi="宋体" w:eastAsia="宋体" w:cs="宋体"/>
                <w:color w:val="000000"/>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合计</w:t>
            </w:r>
          </w:p>
        </w:tc>
        <w:tc>
          <w:tcPr>
            <w:tcW w:w="713"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26"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568" w:type="pct"/>
            <w:shd w:val="clear" w:color="000000" w:fill="FFFFFF"/>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20</w:t>
            </w:r>
          </w:p>
        </w:tc>
        <w:tc>
          <w:tcPr>
            <w:tcW w:w="568"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8</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90</w:t>
            </w:r>
            <w:r>
              <w:rPr>
                <w:rFonts w:hint="eastAsia" w:ascii="宋体" w:hAnsi="宋体" w:eastAsia="宋体" w:cs="宋体"/>
                <w:color w:val="000000"/>
                <w:kern w:val="2"/>
                <w:sz w:val="21"/>
                <w:szCs w:val="21"/>
                <w:lang w:eastAsia="zh-CN"/>
              </w:rPr>
              <w:t>%</w:t>
            </w:r>
          </w:p>
        </w:tc>
      </w:tr>
    </w:tbl>
    <w:p>
      <w:pPr>
        <w:widowControl w:val="0"/>
        <w:ind w:firstLine="643"/>
        <w:outlineLvl w:val="2"/>
        <w:rPr>
          <w:b/>
          <w:lang w:eastAsia="zh-CN"/>
        </w:rPr>
      </w:pPr>
      <w:r>
        <w:rPr>
          <w:b/>
          <w:lang w:eastAsia="zh-CN"/>
        </w:rPr>
        <w:t>1.</w:t>
      </w:r>
      <w:r>
        <w:rPr>
          <w:rFonts w:hint="eastAsia"/>
          <w:b/>
          <w:lang w:eastAsia="zh-CN"/>
        </w:rPr>
        <w:t>资金管理情况分析。</w:t>
      </w:r>
    </w:p>
    <w:p>
      <w:pPr>
        <w:widowControl w:val="0"/>
        <w:ind w:firstLine="640"/>
        <w:rPr>
          <w:lang w:eastAsia="zh-CN"/>
        </w:rPr>
      </w:pPr>
      <w:r>
        <w:rPr>
          <w:rFonts w:hint="eastAsia"/>
          <w:lang w:eastAsia="zh-CN"/>
        </w:rPr>
        <w:t>资金管理包括资金到位及时率、预算执行率、资金使用合规性3个指标，权重分为</w:t>
      </w:r>
      <w:r>
        <w:rPr>
          <w:lang w:eastAsia="zh-CN"/>
        </w:rPr>
        <w:t>10</w:t>
      </w:r>
      <w:r>
        <w:rPr>
          <w:rFonts w:hint="eastAsia"/>
          <w:lang w:eastAsia="zh-CN"/>
        </w:rPr>
        <w:t>分，实际得分</w:t>
      </w:r>
      <w:r>
        <w:rPr>
          <w:lang w:eastAsia="zh-CN"/>
        </w:rPr>
        <w:t>10</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（1）资金到位及时率（</w:t>
      </w:r>
      <w:r>
        <w:rPr>
          <w:lang w:eastAsia="zh-CN"/>
        </w:rPr>
        <w:t>3</w:t>
      </w:r>
      <w:r>
        <w:rPr>
          <w:rFonts w:hint="eastAsia"/>
          <w:lang w:eastAsia="zh-CN"/>
        </w:rPr>
        <w:t>分）：项目总预算为</w:t>
      </w:r>
      <w:r>
        <w:rPr>
          <w:lang w:eastAsia="zh-CN"/>
        </w:rPr>
        <w:t>1250</w:t>
      </w:r>
      <w:r>
        <w:rPr>
          <w:rFonts w:hint="eastAsia"/>
          <w:lang w:eastAsia="zh-CN"/>
        </w:rPr>
        <w:t>万元，截止目前项目实际拨付</w:t>
      </w:r>
      <w:r>
        <w:rPr>
          <w:lang w:eastAsia="zh-CN"/>
        </w:rPr>
        <w:t>1250</w:t>
      </w:r>
      <w:r>
        <w:rPr>
          <w:rFonts w:hint="eastAsia"/>
          <w:lang w:eastAsia="zh-CN"/>
        </w:rPr>
        <w:t>万元</w:t>
      </w:r>
      <w:r>
        <w:rPr>
          <w:lang w:eastAsia="zh-CN"/>
        </w:rPr>
        <w:t>，其中：</w:t>
      </w:r>
      <w:r>
        <w:rPr>
          <w:rFonts w:hint="eastAsia"/>
          <w:lang w:eastAsia="zh-CN"/>
        </w:rPr>
        <w:t>省级资金</w:t>
      </w:r>
      <w:r>
        <w:rPr>
          <w:lang w:eastAsia="zh-CN"/>
        </w:rPr>
        <w:t>500万元，</w:t>
      </w:r>
      <w:r>
        <w:rPr>
          <w:rFonts w:hint="eastAsia"/>
          <w:lang w:eastAsia="zh-CN"/>
        </w:rPr>
        <w:t>县</w:t>
      </w:r>
      <w:r>
        <w:rPr>
          <w:lang w:eastAsia="zh-CN"/>
        </w:rPr>
        <w:t>级资金750万元，</w:t>
      </w:r>
      <w:r>
        <w:rPr>
          <w:rFonts w:hint="eastAsia"/>
          <w:lang w:eastAsia="zh-CN"/>
        </w:rPr>
        <w:t>资金到位率=</w:t>
      </w:r>
      <w:r>
        <w:rPr>
          <w:lang w:eastAsia="zh-CN"/>
        </w:rPr>
        <w:t>1250/1250</w:t>
      </w:r>
      <w:r>
        <w:rPr>
          <w:rFonts w:hint="eastAsia"/>
          <w:lang w:eastAsia="zh-CN"/>
        </w:rPr>
        <w:t>=</w:t>
      </w:r>
      <w:r>
        <w:rPr>
          <w:lang w:eastAsia="zh-CN"/>
        </w:rPr>
        <w:t>100</w:t>
      </w:r>
      <w:r>
        <w:rPr>
          <w:rFonts w:hint="eastAsia"/>
          <w:lang w:eastAsia="zh-CN"/>
        </w:rPr>
        <w:t>%，得</w:t>
      </w:r>
      <w:r>
        <w:rPr>
          <w:lang w:eastAsia="zh-CN"/>
        </w:rPr>
        <w:t>2</w:t>
      </w:r>
      <w:r>
        <w:rPr>
          <w:rFonts w:hint="eastAsia"/>
          <w:lang w:eastAsia="zh-CN"/>
        </w:rPr>
        <w:t>分，项目资金拨付及时，得1分。综上，该指标满分</w:t>
      </w:r>
      <w:r>
        <w:rPr>
          <w:lang w:eastAsia="zh-CN"/>
        </w:rPr>
        <w:t>3</w:t>
      </w:r>
      <w:r>
        <w:rPr>
          <w:rFonts w:hint="eastAsia"/>
          <w:lang w:eastAsia="zh-CN"/>
        </w:rPr>
        <w:t>分，总得分</w:t>
      </w:r>
      <w:r>
        <w:rPr>
          <w:lang w:eastAsia="zh-CN"/>
        </w:rPr>
        <w:t>3</w:t>
      </w:r>
      <w:r>
        <w:rPr>
          <w:rFonts w:hint="eastAsia"/>
          <w:lang w:eastAsia="zh-CN"/>
        </w:rPr>
        <w:t>分。</w:t>
      </w:r>
    </w:p>
    <w:p>
      <w:pPr>
        <w:widowControl w:val="0"/>
        <w:ind w:firstLine="640"/>
        <w:rPr>
          <w:lang w:eastAsia="zh-CN"/>
        </w:rPr>
      </w:pPr>
      <w:r>
        <w:rPr>
          <w:rFonts w:hint="eastAsia"/>
          <w:lang w:eastAsia="zh-CN"/>
        </w:rPr>
        <w:t>（2）预算执行率（</w:t>
      </w:r>
      <w:r>
        <w:rPr>
          <w:lang w:eastAsia="zh-CN"/>
        </w:rPr>
        <w:t>3</w:t>
      </w:r>
      <w:r>
        <w:rPr>
          <w:rFonts w:hint="eastAsia"/>
          <w:lang w:eastAsia="zh-CN"/>
        </w:rPr>
        <w:t>分）：石渠村乡村振兴示范村建设项目实际到位</w:t>
      </w:r>
      <w:r>
        <w:rPr>
          <w:lang w:eastAsia="zh-CN"/>
        </w:rPr>
        <w:t>资金共计1250万元，</w:t>
      </w:r>
      <w:r>
        <w:rPr>
          <w:rFonts w:hint="eastAsia"/>
          <w:lang w:eastAsia="zh-CN"/>
        </w:rPr>
        <w:t>实际支出金额为</w:t>
      </w:r>
      <w:r>
        <w:rPr>
          <w:lang w:eastAsia="zh-CN"/>
        </w:rPr>
        <w:t>1211.25</w:t>
      </w:r>
      <w:r>
        <w:rPr>
          <w:rFonts w:hint="eastAsia"/>
          <w:lang w:eastAsia="zh-CN"/>
        </w:rPr>
        <w:t>万元，预算执行率=实际支出资金</w:t>
      </w:r>
      <w:r>
        <w:rPr>
          <w:lang w:eastAsia="zh-CN"/>
        </w:rPr>
        <w:t>/</w:t>
      </w:r>
      <w:r>
        <w:rPr>
          <w:rFonts w:hint="eastAsia"/>
          <w:lang w:eastAsia="zh-CN"/>
        </w:rPr>
        <w:t>实际到位资金×</w:t>
      </w:r>
      <w:r>
        <w:rPr>
          <w:lang w:eastAsia="zh-CN"/>
        </w:rPr>
        <w:t>100%</w:t>
      </w:r>
      <w:r>
        <w:rPr>
          <w:rFonts w:hint="eastAsia"/>
          <w:lang w:eastAsia="zh-CN"/>
        </w:rPr>
        <w:t>=</w:t>
      </w:r>
      <w:r>
        <w:rPr>
          <w:lang w:eastAsia="zh-CN"/>
        </w:rPr>
        <w:t>1211.25</w:t>
      </w:r>
      <w:r>
        <w:rPr>
          <w:rFonts w:hint="eastAsia"/>
          <w:lang w:eastAsia="zh-CN"/>
        </w:rPr>
        <w:t>/</w:t>
      </w:r>
      <w:r>
        <w:rPr>
          <w:lang w:eastAsia="zh-CN"/>
        </w:rPr>
        <w:t>1250</w:t>
      </w:r>
      <w:r>
        <w:rPr>
          <w:rFonts w:hint="eastAsia"/>
          <w:lang w:eastAsia="zh-CN"/>
        </w:rPr>
        <w:t>×</w:t>
      </w:r>
      <w:r>
        <w:rPr>
          <w:lang w:eastAsia="zh-CN"/>
        </w:rPr>
        <w:t>100%</w:t>
      </w:r>
      <w:r>
        <w:rPr>
          <w:rFonts w:hint="eastAsia"/>
          <w:lang w:eastAsia="zh-CN"/>
        </w:rPr>
        <w:t>=</w:t>
      </w:r>
      <w:r>
        <w:rPr>
          <w:lang w:eastAsia="zh-CN"/>
        </w:rPr>
        <w:t>96.90%</w:t>
      </w:r>
      <w:r>
        <w:rPr>
          <w:rFonts w:hint="eastAsia"/>
          <w:lang w:eastAsia="zh-CN"/>
        </w:rPr>
        <w:t>，得</w:t>
      </w:r>
      <w:r>
        <w:rPr>
          <w:lang w:eastAsia="zh-CN"/>
        </w:rPr>
        <w:t>3</w:t>
      </w:r>
      <w:r>
        <w:rPr>
          <w:rFonts w:hint="eastAsia"/>
          <w:lang w:eastAsia="zh-CN"/>
        </w:rPr>
        <w:t>分。综上，该指标满分</w:t>
      </w:r>
      <w:r>
        <w:rPr>
          <w:lang w:eastAsia="zh-CN"/>
        </w:rPr>
        <w:t>3</w:t>
      </w:r>
      <w:r>
        <w:rPr>
          <w:rFonts w:hint="eastAsia"/>
          <w:lang w:eastAsia="zh-CN"/>
        </w:rPr>
        <w:t>分，总得分</w:t>
      </w:r>
      <w:r>
        <w:rPr>
          <w:lang w:eastAsia="zh-CN"/>
        </w:rPr>
        <w:t>3</w:t>
      </w:r>
      <w:r>
        <w:rPr>
          <w:rFonts w:hint="eastAsia"/>
          <w:lang w:eastAsia="zh-CN"/>
        </w:rPr>
        <w:t>分。</w:t>
      </w:r>
    </w:p>
    <w:p>
      <w:pPr>
        <w:widowControl w:val="0"/>
        <w:ind w:firstLine="640"/>
        <w:rPr>
          <w:lang w:eastAsia="zh-CN"/>
        </w:rPr>
      </w:pPr>
      <w:r>
        <w:rPr>
          <w:rFonts w:hint="eastAsia"/>
          <w:lang w:eastAsia="zh-CN"/>
        </w:rPr>
        <w:t>（3）资金使用合规性（</w:t>
      </w:r>
      <w:r>
        <w:rPr>
          <w:lang w:eastAsia="zh-CN"/>
        </w:rPr>
        <w:t>4</w:t>
      </w:r>
      <w:r>
        <w:rPr>
          <w:rFonts w:hint="eastAsia"/>
          <w:lang w:eastAsia="zh-CN"/>
        </w:rPr>
        <w:t>分）：经核实每一笔项目资金明细账、原始凭证及相关附件，项目实际支出符合项目合同规定的用途，符合《中华人民共和国会计法》、《中华人民共和国预算法》和《事业单位会计制度》的规定；安泽县财政局根据</w:t>
      </w:r>
      <w:r>
        <w:rPr>
          <w:lang w:eastAsia="zh-CN"/>
        </w:rPr>
        <w:t>安泽县</w:t>
      </w:r>
      <w:r>
        <w:rPr>
          <w:rFonts w:hint="eastAsia"/>
          <w:lang w:eastAsia="zh-CN"/>
        </w:rPr>
        <w:t>石渠村乡村示范村改造项目情况</w:t>
      </w:r>
      <w:r>
        <w:rPr>
          <w:lang w:eastAsia="zh-CN"/>
        </w:rPr>
        <w:t>安排省、县</w:t>
      </w:r>
      <w:r>
        <w:rPr>
          <w:rFonts w:hint="eastAsia"/>
          <w:lang w:eastAsia="zh-CN"/>
        </w:rPr>
        <w:t>二</w:t>
      </w:r>
      <w:r>
        <w:rPr>
          <w:lang w:eastAsia="zh-CN"/>
        </w:rPr>
        <w:t>级资金，安泽县财政局在收到</w:t>
      </w:r>
      <w:r>
        <w:rPr>
          <w:rFonts w:hint="eastAsia"/>
          <w:lang w:eastAsia="zh-CN"/>
        </w:rPr>
        <w:t>山西省</w:t>
      </w:r>
      <w:r>
        <w:rPr>
          <w:lang w:eastAsia="zh-CN"/>
        </w:rPr>
        <w:t>财政</w:t>
      </w:r>
      <w:r>
        <w:rPr>
          <w:rFonts w:hint="eastAsia"/>
          <w:lang w:eastAsia="zh-CN"/>
        </w:rPr>
        <w:t>厅</w:t>
      </w:r>
      <w:r>
        <w:rPr>
          <w:lang w:eastAsia="zh-CN"/>
        </w:rPr>
        <w:t>下拨的项目资金后拨付给安泽县</w:t>
      </w:r>
      <w:r>
        <w:rPr>
          <w:rFonts w:hint="eastAsia"/>
          <w:lang w:eastAsia="zh-CN"/>
        </w:rPr>
        <w:t>和川镇人民政府</w:t>
      </w:r>
      <w:r>
        <w:rPr>
          <w:lang w:eastAsia="zh-CN"/>
        </w:rPr>
        <w:t>，安泽县</w:t>
      </w:r>
      <w:r>
        <w:rPr>
          <w:rFonts w:hint="eastAsia"/>
          <w:lang w:eastAsia="zh-CN"/>
        </w:rPr>
        <w:t>和川镇人民政府</w:t>
      </w:r>
      <w:r>
        <w:rPr>
          <w:lang w:eastAsia="zh-CN"/>
        </w:rPr>
        <w:t>根据各建设单位上报的建设进度及资料，对其进行审核并结合合同约定进行款项的支付</w:t>
      </w:r>
      <w:r>
        <w:rPr>
          <w:rFonts w:hint="eastAsia"/>
          <w:lang w:eastAsia="zh-CN"/>
        </w:rPr>
        <w:t>，资金的拨付有完整的审批程序和手续；不存在超标列支相关费用。综上，该指标满分</w:t>
      </w:r>
      <w:r>
        <w:rPr>
          <w:lang w:eastAsia="zh-CN"/>
        </w:rPr>
        <w:t>4</w:t>
      </w:r>
      <w:r>
        <w:rPr>
          <w:rFonts w:hint="eastAsia"/>
          <w:lang w:eastAsia="zh-CN"/>
        </w:rPr>
        <w:t>分，总得分</w:t>
      </w:r>
      <w:r>
        <w:rPr>
          <w:lang w:eastAsia="zh-CN"/>
        </w:rPr>
        <w:t>4</w:t>
      </w:r>
      <w:r>
        <w:rPr>
          <w:rFonts w:hint="eastAsia"/>
          <w:lang w:eastAsia="zh-CN"/>
        </w:rPr>
        <w:t>分。</w:t>
      </w:r>
    </w:p>
    <w:p>
      <w:pPr>
        <w:widowControl w:val="0"/>
        <w:ind w:firstLine="643"/>
        <w:outlineLvl w:val="2"/>
        <w:rPr>
          <w:b/>
          <w:lang w:eastAsia="zh-CN"/>
        </w:rPr>
      </w:pPr>
      <w:r>
        <w:rPr>
          <w:rFonts w:hint="eastAsia"/>
          <w:b/>
          <w:lang w:eastAsia="zh-CN"/>
        </w:rPr>
        <w:t>2.组织实施情况分析。</w:t>
      </w:r>
    </w:p>
    <w:p>
      <w:pPr>
        <w:widowControl w:val="0"/>
        <w:ind w:firstLine="640"/>
        <w:rPr>
          <w:lang w:eastAsia="zh-CN"/>
        </w:rPr>
      </w:pPr>
      <w:r>
        <w:rPr>
          <w:rFonts w:hint="eastAsia"/>
          <w:lang w:eastAsia="zh-CN"/>
        </w:rPr>
        <w:t>组织实施包括管理制度健全性、制度执行有效性2个指标，权重分为1</w:t>
      </w:r>
      <w:r>
        <w:rPr>
          <w:lang w:eastAsia="zh-CN"/>
        </w:rPr>
        <w:t>0</w:t>
      </w:r>
      <w:r>
        <w:rPr>
          <w:rFonts w:hint="eastAsia"/>
          <w:lang w:eastAsia="zh-CN"/>
        </w:rPr>
        <w:t>分，实际得分</w:t>
      </w:r>
      <w:r>
        <w:rPr>
          <w:lang w:eastAsia="zh-CN"/>
        </w:rPr>
        <w:t>8</w:t>
      </w:r>
      <w:r>
        <w:rPr>
          <w:rFonts w:hint="eastAsia"/>
          <w:lang w:eastAsia="zh-CN"/>
        </w:rPr>
        <w:t>分，得分率</w:t>
      </w:r>
      <w:r>
        <w:rPr>
          <w:lang w:eastAsia="zh-CN"/>
        </w:rPr>
        <w:t>80%</w:t>
      </w:r>
      <w:r>
        <w:rPr>
          <w:rFonts w:hint="eastAsia"/>
          <w:lang w:eastAsia="zh-CN"/>
        </w:rPr>
        <w:t>。</w:t>
      </w:r>
    </w:p>
    <w:p>
      <w:pPr>
        <w:widowControl w:val="0"/>
        <w:ind w:firstLine="640"/>
        <w:rPr>
          <w:lang w:eastAsia="zh-CN"/>
        </w:rPr>
      </w:pPr>
      <w:r>
        <w:rPr>
          <w:rFonts w:hint="eastAsia"/>
          <w:lang w:eastAsia="zh-CN"/>
        </w:rPr>
        <w:t>（1）管理制度健全性（</w:t>
      </w:r>
      <w:r>
        <w:rPr>
          <w:lang w:eastAsia="zh-CN"/>
        </w:rPr>
        <w:t>5</w:t>
      </w:r>
      <w:r>
        <w:rPr>
          <w:rFonts w:hint="eastAsia"/>
          <w:lang w:eastAsia="zh-CN"/>
        </w:rPr>
        <w:t>分）：经考察核实，安泽县和川镇人民政府全面负责石渠村乡村振兴示范村建设项目工作，保障了石渠村示范村改造的正常进行。但未针对项目制定专项资金制度，仅仅有普通财务管理制度，对项目财政预算资金的申报、下达，拨付等缺乏详细统一的程序性指导和规范，不利于对项目资金进行管理和监督。综上，该指标满分</w:t>
      </w:r>
      <w:r>
        <w:rPr>
          <w:lang w:eastAsia="zh-CN"/>
        </w:rPr>
        <w:t>5</w:t>
      </w:r>
      <w:r>
        <w:rPr>
          <w:rFonts w:hint="eastAsia"/>
          <w:lang w:eastAsia="zh-CN"/>
        </w:rPr>
        <w:t>分，总得分</w:t>
      </w:r>
      <w:r>
        <w:rPr>
          <w:lang w:eastAsia="zh-CN"/>
        </w:rPr>
        <w:t>3</w:t>
      </w:r>
      <w:r>
        <w:rPr>
          <w:rFonts w:hint="eastAsia"/>
          <w:lang w:eastAsia="zh-CN"/>
        </w:rPr>
        <w:t>分。</w:t>
      </w:r>
    </w:p>
    <w:p>
      <w:pPr>
        <w:widowControl w:val="0"/>
        <w:ind w:firstLine="640"/>
        <w:rPr>
          <w:lang w:eastAsia="zh-CN"/>
        </w:rPr>
      </w:pPr>
      <w:r>
        <w:rPr>
          <w:rFonts w:hint="eastAsia"/>
          <w:lang w:eastAsia="zh-CN"/>
        </w:rPr>
        <w:t>（2）制度执行有效性（</w:t>
      </w:r>
      <w:r>
        <w:rPr>
          <w:lang w:eastAsia="zh-CN"/>
        </w:rPr>
        <w:t>5</w:t>
      </w:r>
      <w:r>
        <w:rPr>
          <w:rFonts w:hint="eastAsia"/>
          <w:lang w:eastAsia="zh-CN"/>
        </w:rPr>
        <w:t>分）：经考察核实，安泽县和川镇人民政府通过公开招投标，确定了施工单位和监理单位，各施工、监理单位按合同进行安全施工，各单位能够按照已制定的各项制度进行项目管理，项目实施过程中各项管理工作有序开展，项目资金按规使用，项目进行了公开招投标，政府采购支出手续齐全，人员按岗位职责有序开展工作，各项工作按程序执行，日常管理记录规范完整。综上，该指标满分</w:t>
      </w:r>
      <w:r>
        <w:rPr>
          <w:lang w:eastAsia="zh-CN"/>
        </w:rPr>
        <w:t>5</w:t>
      </w:r>
      <w:r>
        <w:rPr>
          <w:rFonts w:hint="eastAsia"/>
          <w:lang w:eastAsia="zh-CN"/>
        </w:rPr>
        <w:t>分，总得分</w:t>
      </w:r>
      <w:r>
        <w:rPr>
          <w:lang w:eastAsia="zh-CN"/>
        </w:rPr>
        <w:t>5</w:t>
      </w:r>
      <w:r>
        <w:rPr>
          <w:rFonts w:hint="eastAsia"/>
          <w:lang w:eastAsia="zh-CN"/>
        </w:rPr>
        <w:t>分。</w:t>
      </w:r>
    </w:p>
    <w:p>
      <w:pPr>
        <w:pStyle w:val="5"/>
        <w:keepNext w:val="0"/>
        <w:keepLines w:val="0"/>
        <w:widowControl w:val="0"/>
        <w:ind w:firstLine="643"/>
        <w:rPr>
          <w:lang w:eastAsia="zh-CN"/>
        </w:rPr>
      </w:pPr>
      <w:bookmarkStart w:id="148" w:name="_Toc97086065"/>
      <w:bookmarkStart w:id="149" w:name="_Toc66699966"/>
      <w:r>
        <w:rPr>
          <w:rFonts w:hint="eastAsia"/>
          <w:lang w:eastAsia="zh-CN"/>
        </w:rPr>
        <w:t>（三）项目产出情况</w:t>
      </w:r>
      <w:bookmarkEnd w:id="148"/>
      <w:bookmarkEnd w:id="149"/>
    </w:p>
    <w:p>
      <w:pPr>
        <w:widowControl w:val="0"/>
        <w:ind w:firstLine="640"/>
        <w:rPr>
          <w:lang w:eastAsia="zh-CN"/>
        </w:rPr>
      </w:pPr>
      <w:r>
        <w:rPr>
          <w:rFonts w:hint="eastAsia"/>
          <w:lang w:eastAsia="zh-CN"/>
        </w:rPr>
        <w:t>产出类指标下设置产出数量、产出质量、产出时效、产出成本</w:t>
      </w:r>
      <w:r>
        <w:rPr>
          <w:lang w:eastAsia="zh-CN"/>
        </w:rPr>
        <w:t>4</w:t>
      </w:r>
      <w:r>
        <w:rPr>
          <w:rFonts w:hint="eastAsia"/>
          <w:lang w:eastAsia="zh-CN"/>
        </w:rPr>
        <w:t>个二级指标，产出类指标分值共计30分，得分</w:t>
      </w:r>
      <w:r>
        <w:rPr>
          <w:lang w:eastAsia="zh-CN"/>
        </w:rPr>
        <w:t>30</w:t>
      </w:r>
      <w:r>
        <w:rPr>
          <w:rFonts w:hint="eastAsia"/>
          <w:lang w:eastAsia="zh-CN"/>
        </w:rPr>
        <w:t>分，得分率</w:t>
      </w:r>
      <w:r>
        <w:rPr>
          <w:lang w:eastAsia="zh-CN"/>
        </w:rPr>
        <w:t>100</w:t>
      </w:r>
      <w:r>
        <w:rPr>
          <w:rFonts w:hint="eastAsia"/>
          <w:lang w:eastAsia="zh-CN"/>
        </w:rPr>
        <w:t>%。产出数量方面，各改造任务已按计划完成；产出质量方面，工程质量达标率达1</w:t>
      </w:r>
      <w:r>
        <w:rPr>
          <w:lang w:eastAsia="zh-CN"/>
        </w:rPr>
        <w:t>00%</w:t>
      </w:r>
      <w:r>
        <w:rPr>
          <w:rFonts w:hint="eastAsia"/>
          <w:lang w:eastAsia="zh-CN"/>
        </w:rPr>
        <w:t>；产出时效方面，2</w:t>
      </w:r>
      <w:r>
        <w:rPr>
          <w:lang w:eastAsia="zh-CN"/>
        </w:rPr>
        <w:t>022</w:t>
      </w:r>
      <w:r>
        <w:rPr>
          <w:rFonts w:hint="eastAsia"/>
          <w:lang w:eastAsia="zh-CN"/>
        </w:rPr>
        <w:t>年1</w:t>
      </w:r>
      <w:r>
        <w:rPr>
          <w:lang w:eastAsia="zh-CN"/>
        </w:rPr>
        <w:t>1</w:t>
      </w:r>
      <w:r>
        <w:rPr>
          <w:rFonts w:hint="eastAsia"/>
          <w:lang w:eastAsia="zh-CN"/>
        </w:rPr>
        <w:t>月2日开工，2</w:t>
      </w:r>
      <w:r>
        <w:rPr>
          <w:lang w:eastAsia="zh-CN"/>
        </w:rPr>
        <w:t>023</w:t>
      </w:r>
      <w:r>
        <w:rPr>
          <w:rFonts w:hint="eastAsia"/>
          <w:lang w:eastAsia="zh-CN"/>
        </w:rPr>
        <w:t>年1月2</w:t>
      </w:r>
      <w:r>
        <w:rPr>
          <w:lang w:eastAsia="zh-CN"/>
        </w:rPr>
        <w:t>0</w:t>
      </w:r>
      <w:r>
        <w:rPr>
          <w:rFonts w:hint="eastAsia"/>
          <w:lang w:eastAsia="zh-CN"/>
        </w:rPr>
        <w:t>日完工，工期7</w:t>
      </w:r>
      <w:r>
        <w:rPr>
          <w:lang w:eastAsia="zh-CN"/>
        </w:rPr>
        <w:t>9</w:t>
      </w:r>
      <w:r>
        <w:rPr>
          <w:rFonts w:hint="eastAsia"/>
          <w:lang w:eastAsia="zh-CN"/>
        </w:rPr>
        <w:t>天，在计划工期内；产出成本方面，项目处于财务决算环节，目前结余3</w:t>
      </w:r>
      <w:r>
        <w:rPr>
          <w:lang w:eastAsia="zh-CN"/>
        </w:rPr>
        <w:t>8.75</w:t>
      </w:r>
      <w:r>
        <w:rPr>
          <w:rFonts w:hint="eastAsia"/>
          <w:lang w:eastAsia="zh-CN"/>
        </w:rPr>
        <w:t>万元并不是最终结余数。产出类各项指标具体得分情况见表</w:t>
      </w:r>
      <w:r>
        <w:rPr>
          <w:lang w:eastAsia="zh-CN"/>
        </w:rPr>
        <w:t>4-</w:t>
      </w:r>
      <w:r>
        <w:rPr>
          <w:rFonts w:hint="eastAsia"/>
          <w:lang w:eastAsia="zh-CN"/>
        </w:rPr>
        <w:t>3。</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4-</w:t>
      </w:r>
      <w:r>
        <w:rPr>
          <w:rFonts w:hint="eastAsia" w:ascii="黑体" w:hAnsi="黑体" w:eastAsia="黑体" w:cs="黑体"/>
          <w:sz w:val="24"/>
          <w:szCs w:val="24"/>
        </w:rPr>
        <w:t>3 产出类各项指标具体得分情况</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161"/>
        <w:gridCol w:w="2998"/>
        <w:gridCol w:w="968"/>
        <w:gridCol w:w="96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713"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一级指标</w:t>
            </w:r>
          </w:p>
        </w:tc>
        <w:tc>
          <w:tcPr>
            <w:tcW w:w="681"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二级指标</w:t>
            </w:r>
          </w:p>
        </w:tc>
        <w:tc>
          <w:tcPr>
            <w:tcW w:w="1759"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三级指标</w:t>
            </w:r>
          </w:p>
        </w:tc>
        <w:tc>
          <w:tcPr>
            <w:tcW w:w="568" w:type="pct"/>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权重</w:t>
            </w:r>
          </w:p>
        </w:tc>
        <w:tc>
          <w:tcPr>
            <w:tcW w:w="568"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w:t>
            </w:r>
          </w:p>
        </w:tc>
        <w:tc>
          <w:tcPr>
            <w:tcW w:w="711"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restart"/>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restar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产出数量</w:t>
            </w: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康养驿站主楼改造完成率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公共厕所改造完成率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新建消防水池完成率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民宿改造完成率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生态停车场完成率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绿化景观改造完成率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新建民宿完成率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vMerge w:val="continue"/>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给水污水管网改造完成率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产出质量</w:t>
            </w: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工程质量达标率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产出时效</w:t>
            </w: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rPr>
              <w:t>完</w:t>
            </w:r>
            <w:r>
              <w:rPr>
                <w:rFonts w:hint="eastAsia" w:ascii="宋体" w:hAnsi="宋体" w:eastAsia="宋体" w:cs="宋体"/>
                <w:color w:val="000000"/>
                <w:sz w:val="21"/>
                <w:szCs w:val="21"/>
              </w:rPr>
              <w:t>工及时率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68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产出成本</w:t>
            </w: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费用节余率</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4</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4</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合计</w:t>
            </w:r>
          </w:p>
        </w:tc>
        <w:tc>
          <w:tcPr>
            <w:tcW w:w="68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75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568" w:type="pct"/>
            <w:shd w:val="clear" w:color="000000" w:fill="FFFFFF"/>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30</w:t>
            </w:r>
          </w:p>
        </w:tc>
        <w:tc>
          <w:tcPr>
            <w:tcW w:w="568"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30</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100</w:t>
            </w:r>
            <w:r>
              <w:rPr>
                <w:rFonts w:hint="eastAsia" w:ascii="宋体" w:hAnsi="宋体" w:eastAsia="宋体" w:cs="宋体"/>
                <w:color w:val="000000"/>
                <w:kern w:val="2"/>
                <w:sz w:val="21"/>
                <w:szCs w:val="21"/>
                <w:lang w:eastAsia="zh-CN"/>
              </w:rPr>
              <w:t>%</w:t>
            </w:r>
          </w:p>
        </w:tc>
      </w:tr>
    </w:tbl>
    <w:p>
      <w:pPr>
        <w:widowControl w:val="0"/>
        <w:ind w:firstLine="643"/>
        <w:outlineLvl w:val="2"/>
        <w:rPr>
          <w:b/>
          <w:lang w:eastAsia="zh-CN"/>
        </w:rPr>
      </w:pPr>
      <w:r>
        <w:rPr>
          <w:rFonts w:hint="eastAsia"/>
          <w:b/>
          <w:lang w:eastAsia="zh-CN"/>
        </w:rPr>
        <w:t>1.项目产出数量目标的实现程度分析。</w:t>
      </w:r>
    </w:p>
    <w:p>
      <w:pPr>
        <w:widowControl w:val="0"/>
        <w:ind w:firstLine="640"/>
        <w:rPr>
          <w:lang w:eastAsia="zh-CN"/>
        </w:rPr>
      </w:pPr>
      <w:r>
        <w:rPr>
          <w:rFonts w:hint="eastAsia"/>
          <w:lang w:eastAsia="zh-CN"/>
        </w:rPr>
        <w:t>产出数量下设置康养驿站主楼改造完成率、公共厕所改造完成率、新建消防水池完成率、民宿改造完成率、生态停车场完成率、绿化景观改造完成率、新建民宿完成率、给水污水管网改造完成率</w:t>
      </w:r>
      <w:r>
        <w:rPr>
          <w:lang w:eastAsia="zh-CN"/>
        </w:rPr>
        <w:t>8</w:t>
      </w:r>
      <w:r>
        <w:rPr>
          <w:rFonts w:hint="eastAsia"/>
          <w:lang w:eastAsia="zh-CN"/>
        </w:rPr>
        <w:t>个三级指标，权重分为</w:t>
      </w:r>
      <w:r>
        <w:rPr>
          <w:lang w:eastAsia="zh-CN"/>
        </w:rPr>
        <w:t>16</w:t>
      </w:r>
      <w:r>
        <w:rPr>
          <w:rFonts w:hint="eastAsia"/>
          <w:lang w:eastAsia="zh-CN"/>
        </w:rPr>
        <w:t>分，实际得分</w:t>
      </w:r>
      <w:r>
        <w:rPr>
          <w:lang w:eastAsia="zh-CN"/>
        </w:rPr>
        <w:t>16</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（1）康养驿站主楼改造完成率（</w:t>
      </w:r>
      <w:r>
        <w:rPr>
          <w:lang w:eastAsia="zh-CN"/>
        </w:rPr>
        <w:t>2</w:t>
      </w:r>
      <w:r>
        <w:rPr>
          <w:rFonts w:hint="eastAsia"/>
          <w:lang w:eastAsia="zh-CN"/>
        </w:rPr>
        <w:t>分）：项目计划完成驿站主楼建筑面积7</w:t>
      </w:r>
      <w:r>
        <w:rPr>
          <w:lang w:eastAsia="zh-CN"/>
        </w:rPr>
        <w:t>66.38</w:t>
      </w:r>
      <w:r>
        <w:rPr>
          <w:rFonts w:hint="eastAsia"/>
          <w:lang w:eastAsia="zh-CN"/>
        </w:rPr>
        <w:t>㎡的改造，将石渠村小学二层教学建筑改为驿站主楼，项目截止目前已完成驿站主楼改造，</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（2）公共厕所改造完成率（</w:t>
      </w:r>
      <w:r>
        <w:rPr>
          <w:lang w:eastAsia="zh-CN"/>
        </w:rPr>
        <w:t>2</w:t>
      </w:r>
      <w:r>
        <w:rPr>
          <w:rFonts w:hint="eastAsia"/>
          <w:lang w:eastAsia="zh-CN"/>
        </w:rPr>
        <w:t>分）：项目计划完成驿站建筑面积6</w:t>
      </w:r>
      <w:r>
        <w:rPr>
          <w:lang w:eastAsia="zh-CN"/>
        </w:rPr>
        <w:t>5.36</w:t>
      </w:r>
      <w:r>
        <w:rPr>
          <w:rFonts w:hint="eastAsia"/>
          <w:lang w:eastAsia="zh-CN"/>
        </w:rPr>
        <w:t>㎡公厕的改造，项目截止目前已完成驿站公厕改造，</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w:t>
      </w:r>
      <w:r>
        <w:rPr>
          <w:lang w:eastAsia="zh-CN"/>
        </w:rPr>
        <w:t>3</w:t>
      </w:r>
      <w:r>
        <w:rPr>
          <w:rFonts w:hint="eastAsia"/>
          <w:lang w:eastAsia="zh-CN"/>
        </w:rPr>
        <w:t>）新建消防水池完成率（</w:t>
      </w:r>
      <w:r>
        <w:rPr>
          <w:lang w:eastAsia="zh-CN"/>
        </w:rPr>
        <w:t>2</w:t>
      </w:r>
      <w:r>
        <w:rPr>
          <w:rFonts w:hint="eastAsia"/>
          <w:lang w:eastAsia="zh-CN"/>
        </w:rPr>
        <w:t>分）：项目计划新建建筑面积</w:t>
      </w:r>
      <w:r>
        <w:rPr>
          <w:lang w:eastAsia="zh-CN"/>
        </w:rPr>
        <w:t>39.42</w:t>
      </w:r>
      <w:r>
        <w:rPr>
          <w:rFonts w:hint="eastAsia"/>
          <w:lang w:eastAsia="zh-CN"/>
        </w:rPr>
        <w:t>㎡，有效容积1</w:t>
      </w:r>
      <w:r>
        <w:rPr>
          <w:lang w:eastAsia="zh-CN"/>
        </w:rPr>
        <w:t>08</w:t>
      </w:r>
      <w:r>
        <w:rPr>
          <w:rFonts w:hint="eastAsia"/>
          <w:szCs w:val="32"/>
          <w:lang w:eastAsia="zh-CN"/>
        </w:rPr>
        <w:t>m</w:t>
      </w:r>
      <w:r>
        <w:rPr>
          <w:rFonts w:ascii="Calibri" w:hAnsi="Calibri" w:cs="Calibri"/>
          <w:szCs w:val="32"/>
          <w:lang w:eastAsia="zh-CN"/>
        </w:rPr>
        <w:t>³</w:t>
      </w:r>
      <w:r>
        <w:rPr>
          <w:rFonts w:hint="eastAsia"/>
          <w:lang w:eastAsia="zh-CN"/>
        </w:rPr>
        <w:t>的消防水池的改造，项目截止目前已完成消防水池新建，</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w:t>
      </w:r>
      <w:r>
        <w:rPr>
          <w:lang w:eastAsia="zh-CN"/>
        </w:rPr>
        <w:t>4</w:t>
      </w:r>
      <w:r>
        <w:rPr>
          <w:rFonts w:hint="eastAsia"/>
          <w:lang w:eastAsia="zh-CN"/>
        </w:rPr>
        <w:t>）民宿改造完成率（</w:t>
      </w:r>
      <w:r>
        <w:rPr>
          <w:lang w:eastAsia="zh-CN"/>
        </w:rPr>
        <w:t>2</w:t>
      </w:r>
      <w:r>
        <w:rPr>
          <w:rFonts w:hint="eastAsia"/>
          <w:lang w:eastAsia="zh-CN"/>
        </w:rPr>
        <w:t>分）：项目计划完成4个民宿建筑面积共1</w:t>
      </w:r>
      <w:r>
        <w:rPr>
          <w:lang w:eastAsia="zh-CN"/>
        </w:rPr>
        <w:t>226.01</w:t>
      </w:r>
      <w:r>
        <w:rPr>
          <w:rFonts w:hint="eastAsia"/>
          <w:lang w:eastAsia="zh-CN"/>
        </w:rPr>
        <w:t>㎡的改造，截止目前4个民宿改造已全部完成，</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w:t>
      </w:r>
      <w:r>
        <w:rPr>
          <w:lang w:eastAsia="zh-CN"/>
        </w:rPr>
        <w:t>5</w:t>
      </w:r>
      <w:r>
        <w:rPr>
          <w:rFonts w:hint="eastAsia"/>
          <w:lang w:eastAsia="zh-CN"/>
        </w:rPr>
        <w:t>）生态停车场完成率（</w:t>
      </w:r>
      <w:r>
        <w:rPr>
          <w:lang w:eastAsia="zh-CN"/>
        </w:rPr>
        <w:t>2</w:t>
      </w:r>
      <w:r>
        <w:rPr>
          <w:rFonts w:hint="eastAsia"/>
          <w:lang w:eastAsia="zh-CN"/>
        </w:rPr>
        <w:t>分）：项目计划完成建筑面积7</w:t>
      </w:r>
      <w:r>
        <w:rPr>
          <w:lang w:eastAsia="zh-CN"/>
        </w:rPr>
        <w:t>47.05</w:t>
      </w:r>
      <w:r>
        <w:rPr>
          <w:rFonts w:hint="eastAsia"/>
          <w:lang w:eastAsia="zh-CN"/>
        </w:rPr>
        <w:t>㎡的生态停车场改造，截止目前改造已全部完成，</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w:t>
      </w:r>
      <w:r>
        <w:rPr>
          <w:lang w:eastAsia="zh-CN"/>
        </w:rPr>
        <w:t>6</w:t>
      </w:r>
      <w:r>
        <w:rPr>
          <w:rFonts w:hint="eastAsia"/>
          <w:lang w:eastAsia="zh-CN"/>
        </w:rPr>
        <w:t>）绿化景观改造完成率（</w:t>
      </w:r>
      <w:r>
        <w:rPr>
          <w:lang w:eastAsia="zh-CN"/>
        </w:rPr>
        <w:t>2</w:t>
      </w:r>
      <w:r>
        <w:rPr>
          <w:rFonts w:hint="eastAsia"/>
          <w:lang w:eastAsia="zh-CN"/>
        </w:rPr>
        <w:t>分）：项目计划载种休闲景观树木，修建休闲景观节点，截止目前改造已全部完成，</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w:t>
      </w:r>
      <w:r>
        <w:rPr>
          <w:lang w:eastAsia="zh-CN"/>
        </w:rPr>
        <w:t>7</w:t>
      </w:r>
      <w:r>
        <w:rPr>
          <w:rFonts w:hint="eastAsia"/>
          <w:lang w:eastAsia="zh-CN"/>
        </w:rPr>
        <w:t>）新建民宿完成率（</w:t>
      </w:r>
      <w:r>
        <w:rPr>
          <w:lang w:eastAsia="zh-CN"/>
        </w:rPr>
        <w:t>2</w:t>
      </w:r>
      <w:r>
        <w:rPr>
          <w:rFonts w:hint="eastAsia"/>
          <w:lang w:eastAsia="zh-CN"/>
        </w:rPr>
        <w:t>分）：项目计划新建</w:t>
      </w:r>
      <w:r>
        <w:rPr>
          <w:lang w:eastAsia="zh-CN"/>
        </w:rPr>
        <w:t>1</w:t>
      </w:r>
      <w:r>
        <w:rPr>
          <w:rFonts w:hint="eastAsia"/>
          <w:lang w:eastAsia="zh-CN"/>
        </w:rPr>
        <w:t>个民宿院落，截止目前已全部新建完成，</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0"/>
        <w:rPr>
          <w:lang w:eastAsia="zh-CN"/>
        </w:rPr>
      </w:pPr>
      <w:r>
        <w:rPr>
          <w:rFonts w:hint="eastAsia"/>
          <w:lang w:eastAsia="zh-CN"/>
        </w:rPr>
        <w:t>（</w:t>
      </w:r>
      <w:r>
        <w:rPr>
          <w:lang w:eastAsia="zh-CN"/>
        </w:rPr>
        <w:t>8</w:t>
      </w:r>
      <w:r>
        <w:rPr>
          <w:rFonts w:hint="eastAsia"/>
          <w:lang w:eastAsia="zh-CN"/>
        </w:rPr>
        <w:t>）给水污水管网改造完成率（</w:t>
      </w:r>
      <w:r>
        <w:rPr>
          <w:lang w:eastAsia="zh-CN"/>
        </w:rPr>
        <w:t>2</w:t>
      </w:r>
      <w:r>
        <w:rPr>
          <w:rFonts w:hint="eastAsia"/>
          <w:lang w:eastAsia="zh-CN"/>
        </w:rPr>
        <w:t>分）：项目计划改造全村给水污水管网，截止目前已全部改造完成，</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pPr>
        <w:widowControl w:val="0"/>
        <w:ind w:firstLine="643"/>
        <w:outlineLvl w:val="2"/>
        <w:rPr>
          <w:b/>
          <w:lang w:eastAsia="zh-CN"/>
        </w:rPr>
      </w:pPr>
      <w:r>
        <w:rPr>
          <w:rFonts w:hint="eastAsia"/>
          <w:b/>
          <w:lang w:eastAsia="zh-CN"/>
        </w:rPr>
        <w:t>2.项目产出质量目标的实现程度分析。</w:t>
      </w:r>
    </w:p>
    <w:p>
      <w:pPr>
        <w:widowControl w:val="0"/>
        <w:ind w:firstLine="640"/>
        <w:rPr>
          <w:lang w:eastAsia="zh-CN"/>
        </w:rPr>
      </w:pPr>
      <w:r>
        <w:rPr>
          <w:rFonts w:hint="eastAsia"/>
          <w:lang w:eastAsia="zh-CN"/>
        </w:rPr>
        <w:t>产出质量包括工程质量达标率1个指标，权重分为</w:t>
      </w:r>
      <w:r>
        <w:rPr>
          <w:lang w:eastAsia="zh-CN"/>
        </w:rPr>
        <w:t>5</w:t>
      </w:r>
      <w:r>
        <w:rPr>
          <w:rFonts w:hint="eastAsia"/>
          <w:lang w:eastAsia="zh-CN"/>
        </w:rPr>
        <w:t>分，实际得分</w:t>
      </w:r>
      <w:r>
        <w:rPr>
          <w:lang w:eastAsia="zh-CN"/>
        </w:rPr>
        <w:t>5</w:t>
      </w:r>
      <w:r>
        <w:rPr>
          <w:rFonts w:hint="eastAsia"/>
          <w:lang w:eastAsia="zh-CN"/>
        </w:rPr>
        <w:t>分，得分率100</w:t>
      </w:r>
      <w:r>
        <w:rPr>
          <w:lang w:eastAsia="zh-CN"/>
        </w:rPr>
        <w:t>%</w:t>
      </w:r>
      <w:r>
        <w:rPr>
          <w:rFonts w:hint="eastAsia"/>
          <w:lang w:eastAsia="zh-CN"/>
        </w:rPr>
        <w:t>。</w:t>
      </w:r>
    </w:p>
    <w:p>
      <w:pPr>
        <w:widowControl w:val="0"/>
        <w:ind w:firstLine="640"/>
        <w:rPr>
          <w:lang w:eastAsia="zh-CN"/>
        </w:rPr>
      </w:pPr>
      <w:r>
        <w:rPr>
          <w:rFonts w:hint="eastAsia"/>
          <w:lang w:eastAsia="zh-CN"/>
        </w:rPr>
        <w:t>工程质量达标率（</w:t>
      </w:r>
      <w:r>
        <w:rPr>
          <w:lang w:eastAsia="zh-CN"/>
        </w:rPr>
        <w:t>5</w:t>
      </w:r>
      <w:r>
        <w:rPr>
          <w:rFonts w:hint="eastAsia"/>
          <w:lang w:eastAsia="zh-CN"/>
        </w:rPr>
        <w:t>分）：根据项目资金完成进度申请表、现场考察、访谈，项目已按照施工设计规范完成示范村建设，符合设计规范要求，工程质量达标率为100%。综上，该指标满分</w:t>
      </w:r>
      <w:r>
        <w:rPr>
          <w:lang w:eastAsia="zh-CN"/>
        </w:rPr>
        <w:t>5</w:t>
      </w:r>
      <w:r>
        <w:rPr>
          <w:rFonts w:hint="eastAsia"/>
          <w:lang w:eastAsia="zh-CN"/>
        </w:rPr>
        <w:t>分，得分</w:t>
      </w:r>
      <w:r>
        <w:rPr>
          <w:lang w:eastAsia="zh-CN"/>
        </w:rPr>
        <w:t>5</w:t>
      </w:r>
      <w:r>
        <w:rPr>
          <w:rFonts w:hint="eastAsia"/>
          <w:lang w:eastAsia="zh-CN"/>
        </w:rPr>
        <w:t>分。</w:t>
      </w:r>
    </w:p>
    <w:p>
      <w:pPr>
        <w:widowControl w:val="0"/>
        <w:ind w:firstLine="643"/>
        <w:outlineLvl w:val="2"/>
        <w:rPr>
          <w:b/>
          <w:lang w:eastAsia="zh-CN"/>
        </w:rPr>
      </w:pPr>
      <w:r>
        <w:rPr>
          <w:rFonts w:hint="eastAsia"/>
          <w:b/>
          <w:lang w:eastAsia="zh-CN"/>
        </w:rPr>
        <w:t>3.项目产出时效目标的实现程度分析。</w:t>
      </w:r>
    </w:p>
    <w:p>
      <w:pPr>
        <w:widowControl w:val="0"/>
        <w:ind w:firstLine="640"/>
        <w:rPr>
          <w:lang w:eastAsia="zh-CN"/>
        </w:rPr>
      </w:pPr>
      <w:r>
        <w:rPr>
          <w:rFonts w:hint="eastAsia"/>
          <w:lang w:eastAsia="zh-CN"/>
        </w:rPr>
        <w:t>产出时效包括完工及时率1个指标，权重分为</w:t>
      </w:r>
      <w:r>
        <w:rPr>
          <w:lang w:eastAsia="zh-CN"/>
        </w:rPr>
        <w:t>5</w:t>
      </w:r>
      <w:r>
        <w:rPr>
          <w:rFonts w:hint="eastAsia"/>
          <w:lang w:eastAsia="zh-CN"/>
        </w:rPr>
        <w:t>分，实际得分</w:t>
      </w:r>
      <w:r>
        <w:rPr>
          <w:lang w:eastAsia="zh-CN"/>
        </w:rPr>
        <w:t>5</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完工及时率（</w:t>
      </w:r>
      <w:r>
        <w:rPr>
          <w:lang w:eastAsia="zh-CN"/>
        </w:rPr>
        <w:t>5</w:t>
      </w:r>
      <w:r>
        <w:rPr>
          <w:rFonts w:hint="eastAsia"/>
          <w:lang w:eastAsia="zh-CN"/>
        </w:rPr>
        <w:t>分）：根据项目工程初步设计及概算的批复，计划工期9</w:t>
      </w:r>
      <w:r>
        <w:rPr>
          <w:lang w:eastAsia="zh-CN"/>
        </w:rPr>
        <w:t>0</w:t>
      </w:r>
      <w:r>
        <w:rPr>
          <w:rFonts w:hint="eastAsia"/>
          <w:lang w:eastAsia="zh-CN"/>
        </w:rPr>
        <w:t>天，实际根据竣工报告，项目实际开工时间为2</w:t>
      </w:r>
      <w:r>
        <w:rPr>
          <w:lang w:eastAsia="zh-CN"/>
        </w:rPr>
        <w:t>022</w:t>
      </w:r>
      <w:r>
        <w:rPr>
          <w:rFonts w:hint="eastAsia"/>
          <w:lang w:eastAsia="zh-CN"/>
        </w:rPr>
        <w:t>年1</w:t>
      </w:r>
      <w:r>
        <w:rPr>
          <w:lang w:eastAsia="zh-CN"/>
        </w:rPr>
        <w:t>1</w:t>
      </w:r>
      <w:r>
        <w:rPr>
          <w:rFonts w:hint="eastAsia"/>
          <w:lang w:eastAsia="zh-CN"/>
        </w:rPr>
        <w:t>月2日，竣工时间为2</w:t>
      </w:r>
      <w:r>
        <w:rPr>
          <w:lang w:eastAsia="zh-CN"/>
        </w:rPr>
        <w:t>023</w:t>
      </w:r>
      <w:r>
        <w:rPr>
          <w:rFonts w:hint="eastAsia"/>
          <w:lang w:eastAsia="zh-CN"/>
        </w:rPr>
        <w:t>年1月2</w:t>
      </w:r>
      <w:r>
        <w:rPr>
          <w:lang w:eastAsia="zh-CN"/>
        </w:rPr>
        <w:t>0</w:t>
      </w:r>
      <w:r>
        <w:rPr>
          <w:rFonts w:hint="eastAsia"/>
          <w:lang w:eastAsia="zh-CN"/>
        </w:rPr>
        <w:t>日，工期为7</w:t>
      </w:r>
      <w:r>
        <w:rPr>
          <w:lang w:eastAsia="zh-CN"/>
        </w:rPr>
        <w:t>9</w:t>
      </w:r>
      <w:r>
        <w:rPr>
          <w:rFonts w:hint="eastAsia"/>
          <w:lang w:eastAsia="zh-CN"/>
        </w:rPr>
        <w:t>天。综上，该指标满分5分，得分</w:t>
      </w:r>
      <w:r>
        <w:rPr>
          <w:lang w:eastAsia="zh-CN"/>
        </w:rPr>
        <w:t>5</w:t>
      </w:r>
      <w:r>
        <w:rPr>
          <w:rFonts w:hint="eastAsia"/>
          <w:lang w:eastAsia="zh-CN"/>
        </w:rPr>
        <w:t>分。</w:t>
      </w:r>
    </w:p>
    <w:p>
      <w:pPr>
        <w:widowControl w:val="0"/>
        <w:ind w:firstLine="643"/>
        <w:outlineLvl w:val="2"/>
        <w:rPr>
          <w:b/>
          <w:lang w:eastAsia="zh-CN"/>
        </w:rPr>
      </w:pPr>
      <w:r>
        <w:rPr>
          <w:rFonts w:hint="eastAsia"/>
          <w:b/>
          <w:lang w:eastAsia="zh-CN"/>
        </w:rPr>
        <w:t>4.项目的成本节约程度分析。</w:t>
      </w:r>
    </w:p>
    <w:p>
      <w:pPr>
        <w:widowControl w:val="0"/>
        <w:ind w:firstLine="640"/>
        <w:rPr>
          <w:lang w:eastAsia="zh-CN"/>
        </w:rPr>
      </w:pPr>
      <w:r>
        <w:rPr>
          <w:rFonts w:hint="eastAsia"/>
          <w:lang w:eastAsia="zh-CN"/>
        </w:rPr>
        <w:t>产出成本包括费用节余率</w:t>
      </w:r>
      <w:r>
        <w:rPr>
          <w:lang w:eastAsia="zh-CN"/>
        </w:rPr>
        <w:t>1</w:t>
      </w:r>
      <w:r>
        <w:rPr>
          <w:rFonts w:hint="eastAsia"/>
          <w:lang w:eastAsia="zh-CN"/>
        </w:rPr>
        <w:t>个指标，权重分为</w:t>
      </w:r>
      <w:r>
        <w:rPr>
          <w:lang w:eastAsia="zh-CN"/>
        </w:rPr>
        <w:t>4</w:t>
      </w:r>
      <w:r>
        <w:rPr>
          <w:rFonts w:hint="eastAsia"/>
          <w:lang w:eastAsia="zh-CN"/>
        </w:rPr>
        <w:t>分，实际得分</w:t>
      </w:r>
      <w:r>
        <w:rPr>
          <w:lang w:eastAsia="zh-CN"/>
        </w:rPr>
        <w:t>4</w:t>
      </w:r>
      <w:r>
        <w:rPr>
          <w:rFonts w:hint="eastAsia"/>
          <w:lang w:eastAsia="zh-CN"/>
        </w:rPr>
        <w:t>分，得分率</w:t>
      </w:r>
      <w:r>
        <w:rPr>
          <w:lang w:eastAsia="zh-CN"/>
        </w:rPr>
        <w:t>10</w:t>
      </w:r>
      <w:r>
        <w:rPr>
          <w:rFonts w:hint="eastAsia"/>
          <w:lang w:eastAsia="zh-CN"/>
        </w:rPr>
        <w:t>0</w:t>
      </w:r>
      <w:r>
        <w:rPr>
          <w:lang w:eastAsia="zh-CN"/>
        </w:rPr>
        <w:t>%</w:t>
      </w:r>
      <w:r>
        <w:rPr>
          <w:rFonts w:hint="eastAsia"/>
          <w:lang w:eastAsia="zh-CN"/>
        </w:rPr>
        <w:t>。</w:t>
      </w:r>
    </w:p>
    <w:p>
      <w:pPr>
        <w:widowControl w:val="0"/>
        <w:ind w:firstLine="640"/>
        <w:rPr>
          <w:lang w:eastAsia="zh-CN"/>
        </w:rPr>
      </w:pPr>
      <w:r>
        <w:rPr>
          <w:rFonts w:hint="eastAsia"/>
          <w:lang w:eastAsia="zh-CN"/>
        </w:rPr>
        <w:t>（1）费用节余率（4分）：截至目前，根据各项目财务资料统计，项目预算为</w:t>
      </w:r>
      <w:r>
        <w:rPr>
          <w:lang w:eastAsia="zh-CN"/>
        </w:rPr>
        <w:t>1250</w:t>
      </w:r>
      <w:r>
        <w:rPr>
          <w:rFonts w:hint="eastAsia"/>
          <w:lang w:eastAsia="zh-CN"/>
        </w:rPr>
        <w:t>万元，目前实际拨付</w:t>
      </w:r>
      <w:r>
        <w:rPr>
          <w:lang w:eastAsia="zh-CN"/>
        </w:rPr>
        <w:t>1211.25</w:t>
      </w:r>
      <w:r>
        <w:rPr>
          <w:rFonts w:hint="eastAsia"/>
          <w:lang w:eastAsia="zh-CN"/>
        </w:rPr>
        <w:t>万元，结余3</w:t>
      </w:r>
      <w:r>
        <w:rPr>
          <w:lang w:eastAsia="zh-CN"/>
        </w:rPr>
        <w:t>8.75</w:t>
      </w:r>
      <w:r>
        <w:rPr>
          <w:rFonts w:hint="eastAsia"/>
          <w:lang w:eastAsia="zh-CN"/>
        </w:rPr>
        <w:t>万元未支付，但因目前项目正处于财务决算环节，最总结余数由财务决算后确定，得</w:t>
      </w:r>
      <w:r>
        <w:rPr>
          <w:lang w:eastAsia="zh-CN"/>
        </w:rPr>
        <w:t>4</w:t>
      </w:r>
      <w:r>
        <w:rPr>
          <w:rFonts w:hint="eastAsia"/>
          <w:lang w:eastAsia="zh-CN"/>
        </w:rPr>
        <w:t>分。综上，该指标满分</w:t>
      </w:r>
      <w:r>
        <w:rPr>
          <w:lang w:eastAsia="zh-CN"/>
        </w:rPr>
        <w:t>4</w:t>
      </w:r>
      <w:r>
        <w:rPr>
          <w:rFonts w:hint="eastAsia"/>
          <w:lang w:eastAsia="zh-CN"/>
        </w:rPr>
        <w:t>分，得分</w:t>
      </w:r>
      <w:r>
        <w:rPr>
          <w:lang w:eastAsia="zh-CN"/>
        </w:rPr>
        <w:t>4</w:t>
      </w:r>
      <w:r>
        <w:rPr>
          <w:rFonts w:hint="eastAsia"/>
          <w:lang w:eastAsia="zh-CN"/>
        </w:rPr>
        <w:t>分。</w:t>
      </w:r>
    </w:p>
    <w:p>
      <w:pPr>
        <w:pStyle w:val="5"/>
        <w:keepNext w:val="0"/>
        <w:keepLines w:val="0"/>
        <w:widowControl w:val="0"/>
        <w:ind w:firstLine="643"/>
        <w:rPr>
          <w:lang w:eastAsia="zh-CN"/>
        </w:rPr>
      </w:pPr>
      <w:bookmarkStart w:id="150" w:name="_Toc66699967"/>
      <w:bookmarkStart w:id="151" w:name="_Toc97086066"/>
      <w:r>
        <w:rPr>
          <w:rFonts w:hint="eastAsia"/>
          <w:lang w:eastAsia="zh-CN"/>
        </w:rPr>
        <w:t>（四）项目效益情况</w:t>
      </w:r>
      <w:bookmarkEnd w:id="150"/>
      <w:bookmarkEnd w:id="151"/>
    </w:p>
    <w:p>
      <w:pPr>
        <w:widowControl w:val="0"/>
        <w:ind w:firstLine="640"/>
        <w:rPr>
          <w:lang w:eastAsia="zh-CN"/>
        </w:rPr>
      </w:pPr>
      <w:r>
        <w:rPr>
          <w:rFonts w:hint="eastAsia"/>
          <w:lang w:eastAsia="zh-CN"/>
        </w:rPr>
        <w:t>效益类指标下设置经济效益、生态效益、社会效益、可持续影响和项目相关人员满意度</w:t>
      </w:r>
      <w:r>
        <w:rPr>
          <w:lang w:eastAsia="zh-CN"/>
        </w:rPr>
        <w:t>5</w:t>
      </w:r>
      <w:r>
        <w:rPr>
          <w:rFonts w:hint="eastAsia"/>
          <w:lang w:eastAsia="zh-CN"/>
        </w:rPr>
        <w:t>个二级指标，效益类指标分值共计30分，得分</w:t>
      </w:r>
      <w:r>
        <w:rPr>
          <w:lang w:eastAsia="zh-CN"/>
        </w:rPr>
        <w:t>28</w:t>
      </w:r>
      <w:r>
        <w:rPr>
          <w:rFonts w:hint="eastAsia"/>
          <w:lang w:eastAsia="zh-CN"/>
        </w:rPr>
        <w:t>分，得分率</w:t>
      </w:r>
      <w:r>
        <w:rPr>
          <w:lang w:eastAsia="zh-CN"/>
        </w:rPr>
        <w:t>93.33</w:t>
      </w:r>
      <w:r>
        <w:rPr>
          <w:rFonts w:hint="eastAsia"/>
          <w:lang w:eastAsia="zh-CN"/>
        </w:rPr>
        <w:t>%。经济效益方面，项目实施促进区域旅游业的发展，带动经济快速发展；生态效益方面，进行石渠村绿化景观改造，载种休闲景观树木，增加石渠村绿化率，改善石渠村生态环境情况；社会效益方面，改善石渠村的乡村环境，促进区域经济发展，提升群众生活水平，改善石渠村乡村面貌；可持续影响方面，项目建成后，第三方进行承包，每年给村委会交承包费，后续由第三方自行进行管护，但没有根据项目情况制定专项养护制度；在满意度方面，项目区村民满意度为</w:t>
      </w:r>
      <w:r>
        <w:rPr>
          <w:lang w:eastAsia="zh-CN"/>
        </w:rPr>
        <w:t>100</w:t>
      </w:r>
      <w:r>
        <w:rPr>
          <w:rFonts w:hint="eastAsia"/>
          <w:lang w:eastAsia="zh-CN"/>
        </w:rPr>
        <w:t>%。效益类各项指标具体得分情况见表</w:t>
      </w:r>
      <w:r>
        <w:rPr>
          <w:lang w:eastAsia="zh-CN"/>
        </w:rPr>
        <w:t>4-</w:t>
      </w:r>
      <w:r>
        <w:rPr>
          <w:rFonts w:hint="eastAsia"/>
          <w:lang w:eastAsia="zh-CN"/>
        </w:rPr>
        <w:t>4。</w:t>
      </w:r>
    </w:p>
    <w:p>
      <w:pPr>
        <w:pStyle w:val="46"/>
        <w:widowControl w:val="0"/>
        <w:jc w:val="center"/>
        <w:outlineLvl w:val="9"/>
        <w:rPr>
          <w:rFonts w:ascii="黑体" w:hAnsi="黑体" w:eastAsia="黑体" w:cs="黑体"/>
          <w:sz w:val="24"/>
          <w:szCs w:val="24"/>
        </w:rPr>
      </w:pPr>
      <w:r>
        <w:rPr>
          <w:rFonts w:hint="eastAsia" w:ascii="黑体" w:hAnsi="黑体" w:eastAsia="黑体" w:cs="黑体"/>
          <w:sz w:val="24"/>
          <w:szCs w:val="24"/>
        </w:rPr>
        <w:t>表</w:t>
      </w:r>
      <w:r>
        <w:rPr>
          <w:rFonts w:ascii="黑体" w:hAnsi="黑体" w:eastAsia="黑体" w:cs="黑体"/>
          <w:sz w:val="24"/>
          <w:szCs w:val="24"/>
        </w:rPr>
        <w:t>4-</w:t>
      </w:r>
      <w:r>
        <w:rPr>
          <w:rFonts w:hint="eastAsia" w:ascii="黑体" w:hAnsi="黑体" w:eastAsia="黑体" w:cs="黑体"/>
          <w:sz w:val="24"/>
          <w:szCs w:val="24"/>
        </w:rPr>
        <w:t>4 效益类各项指标具体得分情况</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587"/>
        <w:gridCol w:w="2572"/>
        <w:gridCol w:w="968"/>
        <w:gridCol w:w="96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713"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一级指标</w:t>
            </w:r>
          </w:p>
        </w:tc>
        <w:tc>
          <w:tcPr>
            <w:tcW w:w="931"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二级指标</w:t>
            </w:r>
          </w:p>
        </w:tc>
        <w:tc>
          <w:tcPr>
            <w:tcW w:w="1509"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三级指标</w:t>
            </w:r>
          </w:p>
        </w:tc>
        <w:tc>
          <w:tcPr>
            <w:tcW w:w="568" w:type="pct"/>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权重</w:t>
            </w:r>
          </w:p>
        </w:tc>
        <w:tc>
          <w:tcPr>
            <w:tcW w:w="568"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w:t>
            </w:r>
          </w:p>
        </w:tc>
        <w:tc>
          <w:tcPr>
            <w:tcW w:w="711" w:type="pct"/>
            <w:shd w:val="clear" w:color="auto" w:fill="auto"/>
            <w:vAlign w:val="center"/>
          </w:tcPr>
          <w:p>
            <w:pPr>
              <w:widowControl w:val="0"/>
              <w:spacing w:line="240" w:lineRule="auto"/>
              <w:ind w:firstLine="0" w:firstLineChars="0"/>
              <w:jc w:val="center"/>
              <w:rPr>
                <w:rFonts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restar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效益</w:t>
            </w:r>
          </w:p>
        </w:tc>
        <w:tc>
          <w:tcPr>
            <w:tcW w:w="93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经济效益</w:t>
            </w: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带动经济的快速发展情况</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r>
              <w:rPr>
                <w:rFonts w:ascii="宋体" w:hAnsi="宋体" w:eastAsia="宋体" w:cs="宋体"/>
                <w:color w:val="000000"/>
                <w:kern w:val="2"/>
                <w:sz w:val="21"/>
                <w:szCs w:val="21"/>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931" w:type="pct"/>
            <w:vMerge w:val="restar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生态效益</w:t>
            </w: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区域绿化率增加情况</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931" w:type="pct"/>
            <w:vMerge w:val="continue"/>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改善乡村生态环境情况</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931" w:type="pct"/>
            <w:vMerge w:val="restar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社会效益</w:t>
            </w: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群众生活水平提升情况</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931" w:type="pct"/>
            <w:vMerge w:val="continue"/>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乡村面貌改善情况</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93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可持续影响</w:t>
            </w: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长效机制建设完备性</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5</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3</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6</w:t>
            </w:r>
            <w:r>
              <w:rPr>
                <w:rFonts w:hint="eastAsia" w:ascii="宋体" w:hAnsi="宋体" w:eastAsia="宋体" w:cs="宋体"/>
                <w:color w:val="000000"/>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vMerge w:val="continue"/>
            <w:vAlign w:val="center"/>
          </w:tcPr>
          <w:p>
            <w:pPr>
              <w:widowControl w:val="0"/>
              <w:spacing w:line="240" w:lineRule="auto"/>
              <w:ind w:firstLine="0" w:firstLineChars="0"/>
              <w:rPr>
                <w:rFonts w:ascii="宋体" w:hAnsi="宋体" w:eastAsia="宋体" w:cs="宋体"/>
                <w:color w:val="000000"/>
                <w:kern w:val="2"/>
                <w:sz w:val="21"/>
                <w:szCs w:val="21"/>
                <w:lang w:eastAsia="zh-CN"/>
              </w:rPr>
            </w:pPr>
          </w:p>
        </w:tc>
        <w:tc>
          <w:tcPr>
            <w:tcW w:w="93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满意度</w:t>
            </w:r>
          </w:p>
        </w:tc>
        <w:tc>
          <w:tcPr>
            <w:tcW w:w="1509" w:type="pct"/>
            <w:shd w:val="clear" w:color="000000" w:fill="FFFFFF"/>
            <w:vAlign w:val="center"/>
          </w:tcPr>
          <w:p>
            <w:pPr>
              <w:widowControl w:val="0"/>
              <w:spacing w:line="240" w:lineRule="auto"/>
              <w:ind w:firstLine="0" w:firstLineChars="0"/>
              <w:jc w:val="center"/>
              <w:textAlignment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项目区村民满意度</w:t>
            </w:r>
          </w:p>
        </w:tc>
        <w:tc>
          <w:tcPr>
            <w:tcW w:w="568" w:type="pct"/>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w:t>
            </w:r>
          </w:p>
        </w:tc>
        <w:tc>
          <w:tcPr>
            <w:tcW w:w="568"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10</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3"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合计</w:t>
            </w:r>
          </w:p>
        </w:tc>
        <w:tc>
          <w:tcPr>
            <w:tcW w:w="931"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1509"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p>
        </w:tc>
        <w:tc>
          <w:tcPr>
            <w:tcW w:w="568" w:type="pct"/>
            <w:shd w:val="clear" w:color="000000" w:fill="FFFFFF"/>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30</w:t>
            </w:r>
          </w:p>
        </w:tc>
        <w:tc>
          <w:tcPr>
            <w:tcW w:w="568" w:type="pct"/>
            <w:shd w:val="clear" w:color="000000" w:fill="FFFFFF"/>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r>
              <w:rPr>
                <w:rFonts w:ascii="宋体" w:hAnsi="宋体" w:eastAsia="宋体" w:cs="宋体"/>
                <w:color w:val="000000"/>
                <w:kern w:val="2"/>
                <w:sz w:val="21"/>
                <w:szCs w:val="21"/>
                <w:lang w:eastAsia="zh-CN"/>
              </w:rPr>
              <w:t>8</w:t>
            </w:r>
          </w:p>
        </w:tc>
        <w:tc>
          <w:tcPr>
            <w:tcW w:w="711" w:type="pct"/>
            <w:shd w:val="clear" w:color="auto" w:fill="auto"/>
            <w:noWrap/>
            <w:vAlign w:val="center"/>
          </w:tcPr>
          <w:p>
            <w:pPr>
              <w:widowControl w:val="0"/>
              <w:spacing w:line="240" w:lineRule="auto"/>
              <w:ind w:firstLine="0" w:firstLineChars="0"/>
              <w:jc w:val="center"/>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93.33</w:t>
            </w:r>
            <w:r>
              <w:rPr>
                <w:rFonts w:hint="eastAsia" w:ascii="宋体" w:hAnsi="宋体" w:eastAsia="宋体" w:cs="宋体"/>
                <w:color w:val="000000"/>
                <w:kern w:val="2"/>
                <w:sz w:val="21"/>
                <w:szCs w:val="21"/>
                <w:lang w:eastAsia="zh-CN"/>
              </w:rPr>
              <w:t>%</w:t>
            </w:r>
          </w:p>
        </w:tc>
      </w:tr>
    </w:tbl>
    <w:p>
      <w:pPr>
        <w:widowControl w:val="0"/>
        <w:ind w:firstLine="643"/>
        <w:outlineLvl w:val="2"/>
        <w:rPr>
          <w:b/>
          <w:lang w:eastAsia="zh-CN"/>
        </w:rPr>
      </w:pPr>
      <w:r>
        <w:rPr>
          <w:rFonts w:hint="eastAsia"/>
          <w:b/>
          <w:lang w:eastAsia="zh-CN"/>
        </w:rPr>
        <w:t>1.项目实施所产生的经济效益分析。</w:t>
      </w:r>
    </w:p>
    <w:p>
      <w:pPr>
        <w:widowControl w:val="0"/>
        <w:ind w:firstLine="640"/>
        <w:rPr>
          <w:lang w:eastAsia="zh-CN"/>
        </w:rPr>
      </w:pPr>
      <w:r>
        <w:rPr>
          <w:rFonts w:hint="eastAsia"/>
          <w:lang w:eastAsia="zh-CN"/>
        </w:rPr>
        <w:t>经济效益包括带动经济的快速发展情况1个指标，权重分为</w:t>
      </w:r>
      <w:r>
        <w:rPr>
          <w:lang w:eastAsia="zh-CN"/>
        </w:rPr>
        <w:t>3</w:t>
      </w:r>
      <w:r>
        <w:rPr>
          <w:rFonts w:hint="eastAsia"/>
          <w:lang w:eastAsia="zh-CN"/>
        </w:rPr>
        <w:t>分，实际得分</w:t>
      </w:r>
      <w:r>
        <w:rPr>
          <w:lang w:eastAsia="zh-CN"/>
        </w:rPr>
        <w:t>3</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带动经济的快速发展情况（</w:t>
      </w:r>
      <w:r>
        <w:rPr>
          <w:lang w:eastAsia="zh-CN"/>
        </w:rPr>
        <w:t>3</w:t>
      </w:r>
      <w:r>
        <w:rPr>
          <w:rFonts w:hint="eastAsia"/>
          <w:lang w:eastAsia="zh-CN"/>
        </w:rPr>
        <w:t>分）：通过</w:t>
      </w:r>
      <w:r>
        <w:rPr>
          <w:lang w:eastAsia="zh-CN"/>
        </w:rPr>
        <w:t>考察核实和</w:t>
      </w:r>
      <w:r>
        <w:rPr>
          <w:rFonts w:hint="eastAsia"/>
          <w:lang w:eastAsia="zh-CN"/>
        </w:rPr>
        <w:t>对项目区村民的</w:t>
      </w:r>
      <w:r>
        <w:rPr>
          <w:lang w:eastAsia="zh-CN"/>
        </w:rPr>
        <w:t>问卷</w:t>
      </w:r>
      <w:r>
        <w:rPr>
          <w:rFonts w:hint="eastAsia"/>
          <w:lang w:eastAsia="zh-CN"/>
        </w:rPr>
        <w:t>、</w:t>
      </w:r>
      <w:r>
        <w:rPr>
          <w:lang w:eastAsia="zh-CN"/>
        </w:rPr>
        <w:t>访谈</w:t>
      </w:r>
      <w:r>
        <w:rPr>
          <w:rFonts w:hint="eastAsia"/>
          <w:lang w:eastAsia="zh-CN"/>
        </w:rPr>
        <w:t>，项目实施后，道路通畅，环境优美，促进石渠村旅游业发展，带动区域经济发展。综上，该指标满分</w:t>
      </w:r>
      <w:r>
        <w:rPr>
          <w:lang w:eastAsia="zh-CN"/>
        </w:rPr>
        <w:t>3</w:t>
      </w:r>
      <w:r>
        <w:rPr>
          <w:rFonts w:hint="eastAsia"/>
          <w:lang w:eastAsia="zh-CN"/>
        </w:rPr>
        <w:t>分，得分</w:t>
      </w:r>
      <w:r>
        <w:rPr>
          <w:lang w:eastAsia="zh-CN"/>
        </w:rPr>
        <w:t>3</w:t>
      </w:r>
      <w:r>
        <w:rPr>
          <w:rFonts w:hint="eastAsia"/>
          <w:lang w:eastAsia="zh-CN"/>
        </w:rPr>
        <w:t>分。</w:t>
      </w:r>
    </w:p>
    <w:p>
      <w:pPr>
        <w:widowControl w:val="0"/>
        <w:ind w:firstLine="643"/>
        <w:outlineLvl w:val="2"/>
        <w:rPr>
          <w:b/>
          <w:lang w:eastAsia="zh-CN"/>
        </w:rPr>
      </w:pPr>
      <w:r>
        <w:rPr>
          <w:rFonts w:hint="eastAsia"/>
          <w:b/>
          <w:lang w:eastAsia="zh-CN"/>
        </w:rPr>
        <w:t>2</w:t>
      </w:r>
      <w:r>
        <w:rPr>
          <w:b/>
          <w:lang w:eastAsia="zh-CN"/>
        </w:rPr>
        <w:t>.</w:t>
      </w:r>
      <w:r>
        <w:rPr>
          <w:rFonts w:hint="eastAsia"/>
          <w:b/>
          <w:lang w:eastAsia="zh-CN"/>
        </w:rPr>
        <w:t>项目实施所产生的生态效益分析。</w:t>
      </w:r>
    </w:p>
    <w:p>
      <w:pPr>
        <w:widowControl w:val="0"/>
        <w:ind w:firstLine="640"/>
        <w:rPr>
          <w:lang w:eastAsia="zh-CN"/>
        </w:rPr>
      </w:pPr>
      <w:r>
        <w:rPr>
          <w:rFonts w:hint="eastAsia"/>
          <w:lang w:eastAsia="zh-CN"/>
        </w:rPr>
        <w:t>生态效益包括区域绿化率增加情况、改善乡村生态环境情况</w:t>
      </w:r>
      <w:r>
        <w:rPr>
          <w:lang w:eastAsia="zh-CN"/>
        </w:rPr>
        <w:t>2</w:t>
      </w:r>
      <w:r>
        <w:rPr>
          <w:rFonts w:hint="eastAsia"/>
          <w:lang w:eastAsia="zh-CN"/>
        </w:rPr>
        <w:t>个指标，权重分为</w:t>
      </w:r>
      <w:r>
        <w:rPr>
          <w:lang w:eastAsia="zh-CN"/>
        </w:rPr>
        <w:t>6</w:t>
      </w:r>
      <w:r>
        <w:rPr>
          <w:rFonts w:hint="eastAsia"/>
          <w:lang w:eastAsia="zh-CN"/>
        </w:rPr>
        <w:t>分，实际得分</w:t>
      </w:r>
      <w:r>
        <w:rPr>
          <w:lang w:eastAsia="zh-CN"/>
        </w:rPr>
        <w:t>6</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w:t>
      </w:r>
      <w:r>
        <w:rPr>
          <w:lang w:eastAsia="zh-CN"/>
        </w:rPr>
        <w:t>1）</w:t>
      </w:r>
      <w:r>
        <w:rPr>
          <w:rFonts w:hint="eastAsia"/>
          <w:lang w:eastAsia="zh-CN"/>
        </w:rPr>
        <w:t>区域绿化率增加情况</w:t>
      </w:r>
      <w:r>
        <w:rPr>
          <w:lang w:eastAsia="zh-CN"/>
        </w:rPr>
        <w:t>（3分）</w:t>
      </w:r>
      <w:r>
        <w:rPr>
          <w:rFonts w:hint="eastAsia"/>
          <w:lang w:eastAsia="zh-CN"/>
        </w:rPr>
        <w:t>：通过</w:t>
      </w:r>
      <w:r>
        <w:rPr>
          <w:lang w:eastAsia="zh-CN"/>
        </w:rPr>
        <w:t>考察核实和</w:t>
      </w:r>
      <w:r>
        <w:rPr>
          <w:rFonts w:hint="eastAsia"/>
          <w:lang w:eastAsia="zh-CN"/>
        </w:rPr>
        <w:t>对项目区村民的</w:t>
      </w:r>
      <w:r>
        <w:rPr>
          <w:lang w:eastAsia="zh-CN"/>
        </w:rPr>
        <w:t>问卷</w:t>
      </w:r>
      <w:r>
        <w:rPr>
          <w:rFonts w:hint="eastAsia"/>
          <w:lang w:eastAsia="zh-CN"/>
        </w:rPr>
        <w:t>、</w:t>
      </w:r>
      <w:r>
        <w:rPr>
          <w:lang w:eastAsia="zh-CN"/>
        </w:rPr>
        <w:t>访谈</w:t>
      </w:r>
      <w:r>
        <w:rPr>
          <w:rFonts w:hint="eastAsia"/>
          <w:lang w:eastAsia="zh-CN"/>
        </w:rPr>
        <w:t>，项目实施后，载种景观树木、修建景观休闲点，增大石渠村绿化面积。综上，该指标满分</w:t>
      </w:r>
      <w:r>
        <w:rPr>
          <w:lang w:eastAsia="zh-CN"/>
        </w:rPr>
        <w:t>3</w:t>
      </w:r>
      <w:r>
        <w:rPr>
          <w:rFonts w:hint="eastAsia"/>
          <w:lang w:eastAsia="zh-CN"/>
        </w:rPr>
        <w:t>分，得分</w:t>
      </w:r>
      <w:r>
        <w:rPr>
          <w:lang w:eastAsia="zh-CN"/>
        </w:rPr>
        <w:t>3</w:t>
      </w:r>
      <w:r>
        <w:rPr>
          <w:rFonts w:hint="eastAsia"/>
          <w:lang w:eastAsia="zh-CN"/>
        </w:rPr>
        <w:t>分。</w:t>
      </w:r>
    </w:p>
    <w:p>
      <w:pPr>
        <w:widowControl w:val="0"/>
        <w:ind w:firstLine="640"/>
        <w:rPr>
          <w:lang w:eastAsia="zh-CN"/>
        </w:rPr>
      </w:pPr>
      <w:r>
        <w:rPr>
          <w:rFonts w:hint="eastAsia"/>
          <w:lang w:eastAsia="zh-CN"/>
        </w:rPr>
        <w:t>（</w:t>
      </w:r>
      <w:r>
        <w:rPr>
          <w:lang w:eastAsia="zh-CN"/>
        </w:rPr>
        <w:t>2）</w:t>
      </w:r>
      <w:r>
        <w:rPr>
          <w:rFonts w:hint="eastAsia"/>
          <w:lang w:eastAsia="zh-CN"/>
        </w:rPr>
        <w:t>改善乡村生态环境情况</w:t>
      </w:r>
      <w:r>
        <w:rPr>
          <w:lang w:eastAsia="zh-CN"/>
        </w:rPr>
        <w:t>（3分）</w:t>
      </w:r>
      <w:r>
        <w:rPr>
          <w:rFonts w:hint="eastAsia"/>
          <w:lang w:eastAsia="zh-CN"/>
        </w:rPr>
        <w:t>：通过</w:t>
      </w:r>
      <w:r>
        <w:rPr>
          <w:lang w:eastAsia="zh-CN"/>
        </w:rPr>
        <w:t>考察核实和</w:t>
      </w:r>
      <w:r>
        <w:rPr>
          <w:rFonts w:hint="eastAsia"/>
          <w:lang w:eastAsia="zh-CN"/>
        </w:rPr>
        <w:t>对项目区村民的</w:t>
      </w:r>
      <w:r>
        <w:rPr>
          <w:lang w:eastAsia="zh-CN"/>
        </w:rPr>
        <w:t>问卷</w:t>
      </w:r>
      <w:r>
        <w:rPr>
          <w:rFonts w:hint="eastAsia"/>
          <w:lang w:eastAsia="zh-CN"/>
        </w:rPr>
        <w:t>、</w:t>
      </w:r>
      <w:r>
        <w:rPr>
          <w:lang w:eastAsia="zh-CN"/>
        </w:rPr>
        <w:t>访谈</w:t>
      </w:r>
      <w:r>
        <w:rPr>
          <w:rFonts w:hint="eastAsia"/>
          <w:lang w:eastAsia="zh-CN"/>
        </w:rPr>
        <w:t>，项目实施后，绿化率大大增加，改善石渠村生态环境。综上，该指标满分</w:t>
      </w:r>
      <w:r>
        <w:rPr>
          <w:lang w:eastAsia="zh-CN"/>
        </w:rPr>
        <w:t>3</w:t>
      </w:r>
      <w:r>
        <w:rPr>
          <w:rFonts w:hint="eastAsia"/>
          <w:lang w:eastAsia="zh-CN"/>
        </w:rPr>
        <w:t>分，得分</w:t>
      </w:r>
      <w:r>
        <w:rPr>
          <w:lang w:eastAsia="zh-CN"/>
        </w:rPr>
        <w:t>3</w:t>
      </w:r>
      <w:r>
        <w:rPr>
          <w:rFonts w:hint="eastAsia"/>
          <w:lang w:eastAsia="zh-CN"/>
        </w:rPr>
        <w:t>分。</w:t>
      </w:r>
    </w:p>
    <w:p>
      <w:pPr>
        <w:widowControl w:val="0"/>
        <w:ind w:firstLine="643"/>
        <w:outlineLvl w:val="2"/>
        <w:rPr>
          <w:b/>
          <w:lang w:eastAsia="zh-CN"/>
        </w:rPr>
      </w:pPr>
      <w:r>
        <w:rPr>
          <w:b/>
          <w:lang w:eastAsia="zh-CN"/>
        </w:rPr>
        <w:t>3</w:t>
      </w:r>
      <w:r>
        <w:rPr>
          <w:rFonts w:hint="eastAsia"/>
          <w:b/>
          <w:lang w:eastAsia="zh-CN"/>
        </w:rPr>
        <w:t>.项目实施所产生的社会效益分析。</w:t>
      </w:r>
    </w:p>
    <w:p>
      <w:pPr>
        <w:widowControl w:val="0"/>
        <w:ind w:firstLine="640"/>
        <w:rPr>
          <w:lang w:eastAsia="zh-CN"/>
        </w:rPr>
      </w:pPr>
      <w:r>
        <w:rPr>
          <w:rFonts w:hint="eastAsia"/>
          <w:lang w:eastAsia="zh-CN"/>
        </w:rPr>
        <w:t>社会效益包括群众生活水平提升情况、乡村面貌改善情况</w:t>
      </w:r>
      <w:r>
        <w:rPr>
          <w:lang w:eastAsia="zh-CN"/>
        </w:rPr>
        <w:t>2</w:t>
      </w:r>
      <w:r>
        <w:rPr>
          <w:rFonts w:hint="eastAsia"/>
          <w:lang w:eastAsia="zh-CN"/>
        </w:rPr>
        <w:t>个指标，权重分为</w:t>
      </w:r>
      <w:r>
        <w:rPr>
          <w:lang w:eastAsia="zh-CN"/>
        </w:rPr>
        <w:t>6</w:t>
      </w:r>
      <w:r>
        <w:rPr>
          <w:rFonts w:hint="eastAsia"/>
          <w:lang w:eastAsia="zh-CN"/>
        </w:rPr>
        <w:t>分，实际得分</w:t>
      </w:r>
      <w:r>
        <w:rPr>
          <w:lang w:eastAsia="zh-CN"/>
        </w:rPr>
        <w:t>6</w:t>
      </w:r>
      <w:r>
        <w:rPr>
          <w:rFonts w:hint="eastAsia"/>
          <w:lang w:eastAsia="zh-CN"/>
        </w:rPr>
        <w:t>分，得分率</w:t>
      </w:r>
      <w:r>
        <w:rPr>
          <w:lang w:eastAsia="zh-CN"/>
        </w:rPr>
        <w:t>100%</w:t>
      </w:r>
      <w:r>
        <w:rPr>
          <w:rFonts w:hint="eastAsia"/>
          <w:lang w:eastAsia="zh-CN"/>
        </w:rPr>
        <w:t>。</w:t>
      </w:r>
    </w:p>
    <w:p>
      <w:pPr>
        <w:widowControl w:val="0"/>
        <w:ind w:firstLine="640"/>
        <w:rPr>
          <w:lang w:eastAsia="zh-CN"/>
        </w:rPr>
      </w:pPr>
      <w:r>
        <w:rPr>
          <w:rFonts w:hint="eastAsia"/>
          <w:lang w:eastAsia="zh-CN"/>
        </w:rPr>
        <w:t>（1）群众生活水平提升情况（</w:t>
      </w:r>
      <w:r>
        <w:rPr>
          <w:lang w:eastAsia="zh-CN"/>
        </w:rPr>
        <w:t>3</w:t>
      </w:r>
      <w:r>
        <w:rPr>
          <w:rFonts w:hint="eastAsia"/>
          <w:lang w:eastAsia="zh-CN"/>
        </w:rPr>
        <w:t>分）：通过</w:t>
      </w:r>
      <w:r>
        <w:rPr>
          <w:lang w:eastAsia="zh-CN"/>
        </w:rPr>
        <w:t>考察核实和</w:t>
      </w:r>
      <w:r>
        <w:rPr>
          <w:rFonts w:hint="eastAsia"/>
          <w:lang w:eastAsia="zh-CN"/>
        </w:rPr>
        <w:t>对项目区村民的</w:t>
      </w:r>
      <w:r>
        <w:rPr>
          <w:lang w:eastAsia="zh-CN"/>
        </w:rPr>
        <w:t>问卷</w:t>
      </w:r>
      <w:r>
        <w:rPr>
          <w:rFonts w:hint="eastAsia"/>
          <w:lang w:eastAsia="zh-CN"/>
        </w:rPr>
        <w:t>、</w:t>
      </w:r>
      <w:r>
        <w:rPr>
          <w:lang w:eastAsia="zh-CN"/>
        </w:rPr>
        <w:t>访谈</w:t>
      </w:r>
      <w:r>
        <w:rPr>
          <w:rFonts w:hint="eastAsia"/>
          <w:lang w:eastAsia="zh-CN"/>
        </w:rPr>
        <w:t>，项目的实施后，促进石渠村产业发展，改善区域生活环境，提升群众生活水平条件。综上，该指标满分</w:t>
      </w:r>
      <w:r>
        <w:rPr>
          <w:lang w:eastAsia="zh-CN"/>
        </w:rPr>
        <w:t>3</w:t>
      </w:r>
      <w:r>
        <w:rPr>
          <w:rFonts w:hint="eastAsia"/>
          <w:lang w:eastAsia="zh-CN"/>
        </w:rPr>
        <w:t>分，得分</w:t>
      </w:r>
      <w:r>
        <w:rPr>
          <w:lang w:eastAsia="zh-CN"/>
        </w:rPr>
        <w:t>3</w:t>
      </w:r>
      <w:r>
        <w:rPr>
          <w:rFonts w:hint="eastAsia"/>
          <w:lang w:eastAsia="zh-CN"/>
        </w:rPr>
        <w:t>分。</w:t>
      </w:r>
    </w:p>
    <w:p>
      <w:pPr>
        <w:widowControl w:val="0"/>
        <w:ind w:firstLine="640"/>
        <w:rPr>
          <w:lang w:eastAsia="zh-CN"/>
        </w:rPr>
      </w:pPr>
      <w:r>
        <w:rPr>
          <w:rFonts w:hint="eastAsia"/>
          <w:lang w:eastAsia="zh-CN"/>
        </w:rPr>
        <w:t>（2）</w:t>
      </w:r>
      <w:bookmarkStart w:id="152" w:name="_Hlk152525936"/>
      <w:r>
        <w:rPr>
          <w:rFonts w:hint="eastAsia"/>
          <w:lang w:eastAsia="zh-CN"/>
        </w:rPr>
        <w:t>乡村面貌改善情况</w:t>
      </w:r>
      <w:bookmarkEnd w:id="152"/>
      <w:r>
        <w:rPr>
          <w:rFonts w:hint="eastAsia"/>
          <w:lang w:eastAsia="zh-CN"/>
        </w:rPr>
        <w:t>（</w:t>
      </w:r>
      <w:r>
        <w:rPr>
          <w:lang w:eastAsia="zh-CN"/>
        </w:rPr>
        <w:t>3</w:t>
      </w:r>
      <w:r>
        <w:rPr>
          <w:rFonts w:hint="eastAsia"/>
          <w:lang w:eastAsia="zh-CN"/>
        </w:rPr>
        <w:t>分）：通过</w:t>
      </w:r>
      <w:r>
        <w:rPr>
          <w:lang w:eastAsia="zh-CN"/>
        </w:rPr>
        <w:t>考察核实和</w:t>
      </w:r>
      <w:r>
        <w:rPr>
          <w:rFonts w:hint="eastAsia"/>
          <w:lang w:eastAsia="zh-CN"/>
        </w:rPr>
        <w:t>对项目区村民的</w:t>
      </w:r>
      <w:r>
        <w:rPr>
          <w:lang w:eastAsia="zh-CN"/>
        </w:rPr>
        <w:t>问卷</w:t>
      </w:r>
      <w:r>
        <w:rPr>
          <w:rFonts w:hint="eastAsia"/>
          <w:lang w:eastAsia="zh-CN"/>
        </w:rPr>
        <w:t>、</w:t>
      </w:r>
      <w:r>
        <w:rPr>
          <w:lang w:eastAsia="zh-CN"/>
        </w:rPr>
        <w:t>访谈</w:t>
      </w:r>
      <w:r>
        <w:rPr>
          <w:rFonts w:hint="eastAsia"/>
          <w:lang w:eastAsia="zh-CN"/>
        </w:rPr>
        <w:t>，项目实施后，生态环境、经济水平得到改善，石渠村整体环境得到大幅提升，进而促进乡村面貌改善。综上，该指标满分</w:t>
      </w:r>
      <w:r>
        <w:rPr>
          <w:lang w:eastAsia="zh-CN"/>
        </w:rPr>
        <w:t>3</w:t>
      </w:r>
      <w:r>
        <w:rPr>
          <w:rFonts w:hint="eastAsia"/>
          <w:lang w:eastAsia="zh-CN"/>
        </w:rPr>
        <w:t>分，得分</w:t>
      </w:r>
      <w:r>
        <w:rPr>
          <w:lang w:eastAsia="zh-CN"/>
        </w:rPr>
        <w:t>3</w:t>
      </w:r>
      <w:r>
        <w:rPr>
          <w:rFonts w:hint="eastAsia"/>
          <w:lang w:eastAsia="zh-CN"/>
        </w:rPr>
        <w:t>分。</w:t>
      </w:r>
    </w:p>
    <w:p>
      <w:pPr>
        <w:widowControl w:val="0"/>
        <w:ind w:firstLine="643"/>
        <w:outlineLvl w:val="2"/>
        <w:rPr>
          <w:b/>
          <w:lang w:eastAsia="zh-CN"/>
        </w:rPr>
      </w:pPr>
      <w:r>
        <w:rPr>
          <w:rFonts w:hint="eastAsia"/>
          <w:b/>
          <w:lang w:eastAsia="zh-CN"/>
        </w:rPr>
        <w:t>4.项目实施所产生的可持续影响分析。</w:t>
      </w:r>
    </w:p>
    <w:p>
      <w:pPr>
        <w:widowControl w:val="0"/>
        <w:ind w:firstLine="640"/>
        <w:rPr>
          <w:lang w:eastAsia="zh-CN"/>
        </w:rPr>
      </w:pPr>
      <w:r>
        <w:rPr>
          <w:rFonts w:hint="eastAsia"/>
          <w:lang w:eastAsia="zh-CN"/>
        </w:rPr>
        <w:t>可持续影响包括长效机制建设完备性1个指标，权重分为</w:t>
      </w:r>
      <w:r>
        <w:rPr>
          <w:lang w:eastAsia="zh-CN"/>
        </w:rPr>
        <w:t>5</w:t>
      </w:r>
      <w:r>
        <w:rPr>
          <w:rFonts w:hint="eastAsia"/>
          <w:lang w:eastAsia="zh-CN"/>
        </w:rPr>
        <w:t>分，实际得分3分，得分率60</w:t>
      </w:r>
      <w:r>
        <w:rPr>
          <w:lang w:eastAsia="zh-CN"/>
        </w:rPr>
        <w:t>%</w:t>
      </w:r>
      <w:r>
        <w:rPr>
          <w:rFonts w:hint="eastAsia"/>
          <w:lang w:eastAsia="zh-CN"/>
        </w:rPr>
        <w:t>。</w:t>
      </w:r>
    </w:p>
    <w:p>
      <w:pPr>
        <w:widowControl w:val="0"/>
        <w:ind w:firstLine="640"/>
        <w:rPr>
          <w:lang w:eastAsia="zh-CN"/>
        </w:rPr>
      </w:pPr>
      <w:r>
        <w:rPr>
          <w:rFonts w:hint="eastAsia"/>
          <w:lang w:eastAsia="zh-CN"/>
        </w:rPr>
        <w:t>（1）长效机制建设完备性（</w:t>
      </w:r>
      <w:r>
        <w:rPr>
          <w:lang w:eastAsia="zh-CN"/>
        </w:rPr>
        <w:t>5</w:t>
      </w:r>
      <w:r>
        <w:rPr>
          <w:rFonts w:hint="eastAsia"/>
          <w:lang w:eastAsia="zh-CN"/>
        </w:rPr>
        <w:t>分）：通过</w:t>
      </w:r>
      <w:r>
        <w:rPr>
          <w:lang w:eastAsia="zh-CN"/>
        </w:rPr>
        <w:t>考察核实和</w:t>
      </w:r>
      <w:r>
        <w:rPr>
          <w:rFonts w:hint="eastAsia"/>
          <w:lang w:eastAsia="zh-CN"/>
        </w:rPr>
        <w:t>对项目区村民的</w:t>
      </w:r>
      <w:r>
        <w:rPr>
          <w:lang w:eastAsia="zh-CN"/>
        </w:rPr>
        <w:t>问卷</w:t>
      </w:r>
      <w:r>
        <w:rPr>
          <w:rFonts w:hint="eastAsia"/>
          <w:lang w:eastAsia="zh-CN"/>
        </w:rPr>
        <w:t>、</w:t>
      </w:r>
      <w:r>
        <w:rPr>
          <w:lang w:eastAsia="zh-CN"/>
        </w:rPr>
        <w:t>访谈</w:t>
      </w:r>
      <w:r>
        <w:rPr>
          <w:rFonts w:hint="eastAsia"/>
          <w:lang w:eastAsia="zh-CN"/>
        </w:rPr>
        <w:t>，项目建成后，建成的驿站和民宿由第三方承包并进行后续管理养护，得</w:t>
      </w:r>
      <w:r>
        <w:rPr>
          <w:lang w:eastAsia="zh-CN"/>
        </w:rPr>
        <w:t>2</w:t>
      </w:r>
      <w:r>
        <w:rPr>
          <w:rFonts w:hint="eastAsia"/>
          <w:lang w:eastAsia="zh-CN"/>
        </w:rPr>
        <w:t>分；但没有专项管护维修制度；后续有资金支撑，得1分</w:t>
      </w:r>
      <w:r>
        <w:rPr>
          <w:lang w:eastAsia="zh-CN"/>
        </w:rPr>
        <w:t>。</w:t>
      </w:r>
      <w:r>
        <w:rPr>
          <w:rFonts w:hint="eastAsia"/>
          <w:lang w:eastAsia="zh-CN"/>
        </w:rPr>
        <w:t>综上，该指标满分</w:t>
      </w:r>
      <w:r>
        <w:rPr>
          <w:lang w:eastAsia="zh-CN"/>
        </w:rPr>
        <w:t>5</w:t>
      </w:r>
      <w:r>
        <w:rPr>
          <w:rFonts w:hint="eastAsia"/>
          <w:lang w:eastAsia="zh-CN"/>
        </w:rPr>
        <w:t>分，得分3分。</w:t>
      </w:r>
    </w:p>
    <w:p>
      <w:pPr>
        <w:widowControl w:val="0"/>
        <w:ind w:firstLine="643"/>
        <w:outlineLvl w:val="2"/>
        <w:rPr>
          <w:b/>
          <w:lang w:eastAsia="zh-CN"/>
        </w:rPr>
      </w:pPr>
      <w:r>
        <w:rPr>
          <w:rFonts w:hint="eastAsia"/>
          <w:b/>
          <w:lang w:eastAsia="zh-CN"/>
        </w:rPr>
        <w:t>5.项目实施效果的满意度分析。</w:t>
      </w:r>
    </w:p>
    <w:p>
      <w:pPr>
        <w:widowControl w:val="0"/>
        <w:ind w:firstLine="640"/>
        <w:rPr>
          <w:lang w:eastAsia="zh-CN"/>
        </w:rPr>
      </w:pPr>
      <w:r>
        <w:rPr>
          <w:rFonts w:hint="eastAsia"/>
          <w:lang w:eastAsia="zh-CN"/>
        </w:rPr>
        <w:t>满意度包括项目区村民满意度1个指标，权重分为</w:t>
      </w:r>
      <w:r>
        <w:rPr>
          <w:lang w:eastAsia="zh-CN"/>
        </w:rPr>
        <w:t>10</w:t>
      </w:r>
      <w:r>
        <w:rPr>
          <w:rFonts w:hint="eastAsia"/>
          <w:lang w:eastAsia="zh-CN"/>
        </w:rPr>
        <w:t>分，实际得分</w:t>
      </w:r>
      <w:r>
        <w:rPr>
          <w:lang w:eastAsia="zh-CN"/>
        </w:rPr>
        <w:t>10</w:t>
      </w:r>
      <w:r>
        <w:rPr>
          <w:rFonts w:hint="eastAsia"/>
          <w:lang w:eastAsia="zh-CN"/>
        </w:rPr>
        <w:t>分，得分率100</w:t>
      </w:r>
      <w:r>
        <w:rPr>
          <w:lang w:eastAsia="zh-CN"/>
        </w:rPr>
        <w:t>%</w:t>
      </w:r>
      <w:r>
        <w:rPr>
          <w:rFonts w:hint="eastAsia"/>
          <w:lang w:eastAsia="zh-CN"/>
        </w:rPr>
        <w:t>。</w:t>
      </w:r>
    </w:p>
    <w:p>
      <w:pPr>
        <w:widowControl w:val="0"/>
        <w:ind w:firstLine="640"/>
        <w:rPr>
          <w:lang w:eastAsia="zh-CN"/>
        </w:rPr>
      </w:pPr>
      <w:r>
        <w:rPr>
          <w:rFonts w:hint="eastAsia"/>
          <w:lang w:eastAsia="zh-CN"/>
        </w:rPr>
        <w:t>（1）项目区村民满意度（</w:t>
      </w:r>
      <w:r>
        <w:rPr>
          <w:lang w:eastAsia="zh-CN"/>
        </w:rPr>
        <w:t>10</w:t>
      </w:r>
      <w:r>
        <w:rPr>
          <w:rFonts w:hint="eastAsia"/>
          <w:lang w:eastAsia="zh-CN"/>
        </w:rPr>
        <w:t>分）：依据调查问卷统计，项目区村民满意度为</w:t>
      </w:r>
      <w:r>
        <w:rPr>
          <w:lang w:eastAsia="zh-CN"/>
        </w:rPr>
        <w:t>100</w:t>
      </w:r>
      <w:r>
        <w:rPr>
          <w:rFonts w:hint="eastAsia"/>
          <w:lang w:eastAsia="zh-CN"/>
        </w:rPr>
        <w:t>%，满意度标杆值为9</w:t>
      </w:r>
      <w:r>
        <w:rPr>
          <w:lang w:eastAsia="zh-CN"/>
        </w:rPr>
        <w:t>5</w:t>
      </w:r>
      <w:r>
        <w:rPr>
          <w:rFonts w:hint="eastAsia"/>
          <w:lang w:eastAsia="zh-CN"/>
        </w:rPr>
        <w:t>%。综上，该指标满分为</w:t>
      </w:r>
      <w:r>
        <w:rPr>
          <w:lang w:eastAsia="zh-CN"/>
        </w:rPr>
        <w:t>10</w:t>
      </w:r>
      <w:r>
        <w:rPr>
          <w:rFonts w:hint="eastAsia"/>
          <w:lang w:eastAsia="zh-CN"/>
        </w:rPr>
        <w:t>分，实际得分</w:t>
      </w:r>
      <w:r>
        <w:rPr>
          <w:lang w:eastAsia="zh-CN"/>
        </w:rPr>
        <w:t>10</w:t>
      </w:r>
      <w:r>
        <w:rPr>
          <w:rFonts w:hint="eastAsia"/>
          <w:lang w:eastAsia="zh-CN"/>
        </w:rPr>
        <w:t>分。</w:t>
      </w:r>
    </w:p>
    <w:p>
      <w:pPr>
        <w:pStyle w:val="4"/>
        <w:keepNext w:val="0"/>
        <w:keepLines w:val="0"/>
        <w:widowControl w:val="0"/>
        <w:ind w:firstLine="640"/>
        <w:rPr>
          <w:lang w:eastAsia="zh-CN"/>
        </w:rPr>
      </w:pPr>
      <w:bookmarkStart w:id="153" w:name="_Toc97086067"/>
      <w:bookmarkStart w:id="154" w:name="_Hlk152840657"/>
      <w:r>
        <w:rPr>
          <w:lang w:eastAsia="zh-CN"/>
        </w:rPr>
        <w:t>五、</w:t>
      </w:r>
      <w:bookmarkStart w:id="155" w:name="_Hlk152854060"/>
      <w:r>
        <w:rPr>
          <w:rFonts w:hint="eastAsia"/>
          <w:lang w:eastAsia="zh-CN"/>
        </w:rPr>
        <w:t>项目</w:t>
      </w:r>
      <w:r>
        <w:rPr>
          <w:lang w:eastAsia="zh-CN"/>
        </w:rPr>
        <w:t>主要</w:t>
      </w:r>
      <w:r>
        <w:rPr>
          <w:rFonts w:hint="eastAsia"/>
          <w:lang w:eastAsia="zh-CN"/>
        </w:rPr>
        <w:t>绩效及</w:t>
      </w:r>
      <w:r>
        <w:rPr>
          <w:lang w:eastAsia="zh-CN"/>
        </w:rPr>
        <w:t>经验做法</w:t>
      </w:r>
      <w:bookmarkEnd w:id="153"/>
    </w:p>
    <w:bookmarkEnd w:id="154"/>
    <w:bookmarkEnd w:id="155"/>
    <w:p>
      <w:pPr>
        <w:pStyle w:val="5"/>
        <w:keepNext w:val="0"/>
        <w:keepLines w:val="0"/>
        <w:widowControl w:val="0"/>
        <w:ind w:firstLine="643"/>
        <w:rPr>
          <w:lang w:eastAsia="zh-CN"/>
        </w:rPr>
      </w:pPr>
      <w:bookmarkStart w:id="156" w:name="_Toc96054859"/>
      <w:bookmarkStart w:id="157" w:name="_Toc97086068"/>
      <w:r>
        <w:rPr>
          <w:lang w:eastAsia="zh-CN"/>
        </w:rPr>
        <w:t>（一）</w:t>
      </w:r>
      <w:r>
        <w:rPr>
          <w:rFonts w:hint="eastAsia"/>
          <w:lang w:eastAsia="zh-CN"/>
        </w:rPr>
        <w:t>主要</w:t>
      </w:r>
      <w:bookmarkEnd w:id="156"/>
      <w:bookmarkEnd w:id="157"/>
      <w:r>
        <w:rPr>
          <w:rFonts w:hint="eastAsia"/>
          <w:lang w:eastAsia="zh-CN"/>
        </w:rPr>
        <w:t>绩效</w:t>
      </w:r>
    </w:p>
    <w:p>
      <w:pPr>
        <w:widowControl w:val="0"/>
        <w:ind w:firstLine="640"/>
        <w:rPr>
          <w:lang w:eastAsia="zh-CN"/>
        </w:rPr>
      </w:pPr>
      <w:bookmarkStart w:id="158" w:name="_Toc96054860"/>
      <w:bookmarkStart w:id="159" w:name="_Toc97086069"/>
      <w:r>
        <w:rPr>
          <w:rFonts w:hint="eastAsia"/>
          <w:lang w:eastAsia="zh-CN"/>
        </w:rPr>
        <w:t>石渠村乡村振兴示范村建设项目实施后，完成石渠村驿站、民宿、生态停车场、全村污水给水管网等改造，</w:t>
      </w:r>
      <w:r>
        <w:rPr>
          <w:rFonts w:hint="eastAsia" w:cs="仿宋"/>
          <w:lang w:eastAsia="zh-CN"/>
        </w:rPr>
        <w:t>加强了生态文明建设，改善了农村人居环境和农村生产生活条件，加快了新农村建设，</w:t>
      </w:r>
      <w:r>
        <w:rPr>
          <w:lang w:eastAsia="zh-CN"/>
        </w:rPr>
        <w:t>全面促进乡村振兴。</w:t>
      </w:r>
    </w:p>
    <w:p>
      <w:pPr>
        <w:pStyle w:val="5"/>
        <w:keepNext w:val="0"/>
        <w:keepLines w:val="0"/>
        <w:widowControl w:val="0"/>
        <w:ind w:firstLine="643"/>
        <w:rPr>
          <w:lang w:eastAsia="zh-CN"/>
        </w:rPr>
      </w:pPr>
      <w:r>
        <w:rPr>
          <w:lang w:eastAsia="zh-CN"/>
        </w:rPr>
        <w:t>（二）</w:t>
      </w:r>
      <w:r>
        <w:rPr>
          <w:rFonts w:hint="eastAsia"/>
          <w:lang w:eastAsia="zh-CN"/>
        </w:rPr>
        <w:t>主要</w:t>
      </w:r>
      <w:r>
        <w:rPr>
          <w:lang w:eastAsia="zh-CN"/>
        </w:rPr>
        <w:t>经验做法</w:t>
      </w:r>
      <w:bookmarkEnd w:id="158"/>
      <w:bookmarkEnd w:id="159"/>
    </w:p>
    <w:p>
      <w:pPr>
        <w:widowControl w:val="0"/>
        <w:ind w:firstLine="643"/>
        <w:outlineLvl w:val="2"/>
        <w:rPr>
          <w:b/>
          <w:lang w:eastAsia="zh-CN"/>
        </w:rPr>
      </w:pPr>
      <w:bookmarkStart w:id="160" w:name="_Toc97086070"/>
      <w:r>
        <w:rPr>
          <w:b/>
          <w:lang w:eastAsia="zh-CN"/>
        </w:rPr>
        <w:t>1.因地制宜，明确创建工作目标。</w:t>
      </w:r>
    </w:p>
    <w:p>
      <w:pPr>
        <w:widowControl w:val="0"/>
        <w:ind w:firstLine="640"/>
        <w:rPr>
          <w:bCs/>
          <w:lang w:eastAsia="zh-CN"/>
        </w:rPr>
      </w:pPr>
      <w:r>
        <w:rPr>
          <w:rFonts w:hint="eastAsia"/>
          <w:lang w:eastAsia="zh-CN"/>
        </w:rPr>
        <w:t>安泽县和川镇人民政府以示范村创建为重点，以农村人居环境整治提升为抓手，因地制宜培育</w:t>
      </w:r>
      <w:r>
        <w:rPr>
          <w:lang w:eastAsia="zh-CN"/>
        </w:rPr>
        <w:t>1个以上特色明显、规模较大和效益显著的优势主导产业，大力发展休闲农业、观光农业和乡村旅游业，完善基础设施建设，积极创建乡村振兴示范村。</w:t>
      </w:r>
    </w:p>
    <w:p>
      <w:pPr>
        <w:widowControl w:val="0"/>
        <w:ind w:firstLine="643"/>
        <w:outlineLvl w:val="2"/>
        <w:rPr>
          <w:b/>
          <w:lang w:eastAsia="zh-CN"/>
        </w:rPr>
      </w:pPr>
      <w:r>
        <w:rPr>
          <w:b/>
          <w:lang w:eastAsia="zh-CN"/>
        </w:rPr>
        <w:t>2.聚焦产业促进乡村发展，推动形成“一县一业”发展格局。</w:t>
      </w:r>
    </w:p>
    <w:p>
      <w:pPr>
        <w:widowControl w:val="0"/>
        <w:ind w:firstLine="640"/>
        <w:rPr>
          <w:bCs/>
          <w:lang w:eastAsia="zh-CN"/>
        </w:rPr>
      </w:pPr>
      <w:r>
        <w:rPr>
          <w:rFonts w:hint="eastAsia"/>
          <w:lang w:eastAsia="zh-CN"/>
        </w:rPr>
        <w:t>安泽县和川镇人民政府持续推进安泽县一二三产业融合发展，以避暑康养产业为突破口，打造“二线一点，五风三味”经济模型，构建村民庭院经济，壮大村集体经济，改善村民生活环境。</w:t>
      </w:r>
    </w:p>
    <w:p>
      <w:pPr>
        <w:pStyle w:val="4"/>
        <w:keepNext w:val="0"/>
        <w:keepLines w:val="0"/>
        <w:widowControl w:val="0"/>
        <w:ind w:firstLine="640"/>
        <w:rPr>
          <w:lang w:eastAsia="zh-CN"/>
        </w:rPr>
      </w:pPr>
      <w:bookmarkStart w:id="161" w:name="_Hlk152840696"/>
      <w:r>
        <w:rPr>
          <w:lang w:eastAsia="zh-CN"/>
        </w:rPr>
        <w:t>六、</w:t>
      </w:r>
      <w:r>
        <w:rPr>
          <w:rFonts w:hint="eastAsia"/>
          <w:lang w:eastAsia="zh-CN"/>
        </w:rPr>
        <w:t>项目实施及管理过程中存在</w:t>
      </w:r>
      <w:r>
        <w:rPr>
          <w:lang w:eastAsia="zh-CN"/>
        </w:rPr>
        <w:t>问题及原因分析</w:t>
      </w:r>
      <w:bookmarkEnd w:id="160"/>
    </w:p>
    <w:bookmarkEnd w:id="161"/>
    <w:p>
      <w:pPr>
        <w:widowControl w:val="0"/>
        <w:ind w:firstLine="643"/>
        <w:rPr>
          <w:rFonts w:ascii="楷体" w:hAnsi="楷体" w:eastAsia="楷体" w:cstheme="majorBidi"/>
          <w:b/>
          <w:bCs/>
          <w:szCs w:val="26"/>
          <w:lang w:eastAsia="zh-CN"/>
        </w:rPr>
      </w:pPr>
      <w:bookmarkStart w:id="162" w:name="_Hlk149579171"/>
      <w:bookmarkStart w:id="163" w:name="_Toc97086073"/>
      <w:r>
        <w:rPr>
          <w:rFonts w:hint="eastAsia" w:ascii="楷体" w:hAnsi="楷体" w:eastAsia="楷体" w:cstheme="majorBidi"/>
          <w:b/>
          <w:bCs/>
          <w:szCs w:val="26"/>
          <w:lang w:eastAsia="zh-CN"/>
        </w:rPr>
        <w:t>（一）绩效目标不合理，绩效指标不明确</w:t>
      </w:r>
    </w:p>
    <w:p>
      <w:pPr>
        <w:widowControl w:val="0"/>
        <w:ind w:firstLine="640"/>
        <w:rPr>
          <w:rFonts w:cstheme="majorBidi"/>
          <w:szCs w:val="26"/>
          <w:lang w:eastAsia="zh-CN"/>
        </w:rPr>
      </w:pPr>
      <w:r>
        <w:rPr>
          <w:rFonts w:hint="eastAsia" w:cstheme="majorBidi"/>
          <w:szCs w:val="26"/>
          <w:lang w:eastAsia="zh-CN"/>
        </w:rPr>
        <w:t>安泽县和川镇人民政府在项目决策方面，设立了产出目标、社会效益等方面的绩效目标，但未设立经济效益，目标设置不合理，同时在定量表述上不够全面，未对指标进行量化，如改善石渠村的生态环境，应加强绩效目标辅导工作。原因是安泽县和川镇人民政府因无法把控效益目标的量化程度，对项目效益情况等方面未做具体量化，在整个项目实施中部分效益没有一个清晰明确的方向。</w:t>
      </w:r>
    </w:p>
    <w:p>
      <w:pPr>
        <w:widowControl w:val="0"/>
        <w:ind w:firstLine="643"/>
        <w:rPr>
          <w:rFonts w:ascii="楷体" w:hAnsi="楷体" w:eastAsia="楷体" w:cstheme="majorBidi"/>
          <w:b/>
          <w:bCs/>
          <w:szCs w:val="26"/>
          <w:lang w:eastAsia="zh-CN"/>
        </w:rPr>
      </w:pPr>
      <w:r>
        <w:rPr>
          <w:rFonts w:hint="eastAsia" w:ascii="楷体" w:hAnsi="楷体" w:eastAsia="楷体" w:cstheme="majorBidi"/>
          <w:b/>
          <w:bCs/>
          <w:szCs w:val="26"/>
          <w:lang w:eastAsia="zh-CN"/>
        </w:rPr>
        <w:t>（二）管理制度不健全，制度执行率低</w:t>
      </w:r>
    </w:p>
    <w:p>
      <w:pPr>
        <w:widowControl w:val="0"/>
        <w:ind w:firstLine="640"/>
        <w:rPr>
          <w:rFonts w:cstheme="majorBidi"/>
          <w:szCs w:val="26"/>
          <w:lang w:eastAsia="zh-CN"/>
        </w:rPr>
      </w:pPr>
      <w:r>
        <w:rPr>
          <w:rFonts w:hint="eastAsia" w:cstheme="majorBidi"/>
          <w:szCs w:val="26"/>
          <w:lang w:eastAsia="zh-CN"/>
        </w:rPr>
        <w:t>安泽县和川镇人民政府在组织实施方面，未针对石渠村乡村振兴示范村建设项目具体制定系统明确的资金管理制度，使得项目的资金管理缺少明文约束，也未形成动态监管机制，不利于对项目的专门管理和监督。原因是安泽县和川镇人民政府因项目建设资金管理制度一般都大同小异，对基本建设项目不做专项资金管理制度，习惯遵照《安泽县和川镇人民政府资金管理制度》进行日常的财务管理。</w:t>
      </w:r>
    </w:p>
    <w:p>
      <w:pPr>
        <w:widowControl w:val="0"/>
        <w:ind w:firstLine="643"/>
        <w:rPr>
          <w:rFonts w:ascii="楷体" w:hAnsi="楷体" w:eastAsia="楷体" w:cstheme="majorBidi"/>
          <w:b/>
          <w:bCs/>
          <w:szCs w:val="26"/>
          <w:lang w:eastAsia="zh-CN"/>
        </w:rPr>
      </w:pPr>
      <w:r>
        <w:rPr>
          <w:rFonts w:hint="eastAsia" w:ascii="楷体" w:hAnsi="楷体" w:eastAsia="楷体" w:cstheme="majorBidi"/>
          <w:b/>
          <w:bCs/>
          <w:szCs w:val="26"/>
          <w:lang w:eastAsia="zh-CN"/>
        </w:rPr>
        <w:t>（三）项目后续管护维修的监管制度不健全</w:t>
      </w:r>
    </w:p>
    <w:p>
      <w:pPr>
        <w:widowControl w:val="0"/>
        <w:ind w:firstLine="640"/>
        <w:rPr>
          <w:lang w:eastAsia="zh-CN"/>
        </w:rPr>
      </w:pPr>
      <w:r>
        <w:rPr>
          <w:rFonts w:hint="eastAsia" w:cstheme="majorBidi"/>
          <w:szCs w:val="26"/>
          <w:lang w:eastAsia="zh-CN"/>
        </w:rPr>
        <w:t>在实地考察时，发现项目建成后，驿站和民宿由第三方承包，每年给村委交租金，房屋及屋内设备由第三方自行进行管理和维护，改造的污水给水管网和绿化景观等由村委负责日常管理维护，但石渠村并未制定项目专项管护维修监管制度。</w:t>
      </w:r>
      <w:r>
        <w:rPr>
          <w:rFonts w:hint="eastAsia"/>
          <w:lang w:eastAsia="zh-CN"/>
        </w:rPr>
        <w:t>原因是项目刚建成，村委进行日常管理习惯遵循村委一般规章制度。</w:t>
      </w:r>
    </w:p>
    <w:bookmarkEnd w:id="162"/>
    <w:p>
      <w:pPr>
        <w:pStyle w:val="4"/>
        <w:keepNext w:val="0"/>
        <w:keepLines w:val="0"/>
        <w:widowControl w:val="0"/>
        <w:ind w:firstLine="640"/>
        <w:rPr>
          <w:lang w:eastAsia="zh-CN"/>
        </w:rPr>
      </w:pPr>
      <w:bookmarkStart w:id="164" w:name="_Hlk152840761"/>
      <w:r>
        <w:rPr>
          <w:rFonts w:hint="eastAsia"/>
          <w:lang w:eastAsia="zh-CN"/>
        </w:rPr>
        <w:t>七</w:t>
      </w:r>
      <w:r>
        <w:rPr>
          <w:lang w:eastAsia="zh-CN"/>
        </w:rPr>
        <w:t>、</w:t>
      </w:r>
      <w:bookmarkEnd w:id="163"/>
      <w:bookmarkStart w:id="165" w:name="_Toc95924695"/>
      <w:bookmarkStart w:id="166" w:name="_Toc96054865"/>
      <w:bookmarkStart w:id="167" w:name="_Toc96013087"/>
      <w:bookmarkStart w:id="168" w:name="_Toc97086074"/>
      <w:bookmarkStart w:id="169" w:name="_Hlk152854111"/>
      <w:r>
        <w:rPr>
          <w:rFonts w:hint="eastAsia"/>
          <w:lang w:eastAsia="zh-CN"/>
        </w:rPr>
        <w:t>下一步改进意见及政策建议</w:t>
      </w:r>
      <w:bookmarkEnd w:id="165"/>
      <w:bookmarkEnd w:id="166"/>
      <w:bookmarkEnd w:id="167"/>
      <w:bookmarkEnd w:id="168"/>
    </w:p>
    <w:bookmarkEnd w:id="164"/>
    <w:bookmarkEnd w:id="169"/>
    <w:p>
      <w:pPr>
        <w:pStyle w:val="70"/>
        <w:widowControl w:val="0"/>
        <w:ind w:firstLine="640"/>
        <w:rPr>
          <w:lang w:eastAsia="zh-CN"/>
        </w:rPr>
      </w:pPr>
      <w:bookmarkStart w:id="170" w:name="_Toc96013088"/>
      <w:bookmarkStart w:id="171" w:name="_Toc97086075"/>
      <w:bookmarkStart w:id="172" w:name="_Toc95924696"/>
      <w:bookmarkStart w:id="173" w:name="_Toc66699973"/>
      <w:bookmarkStart w:id="174" w:name="_Toc96054866"/>
      <w:r>
        <w:rPr>
          <w:rFonts w:hint="eastAsia"/>
          <w:lang w:eastAsia="zh-CN"/>
        </w:rPr>
        <w:t>（一）加强安泽县和川镇人民政府有关部门的绩效学习，增强项目单位绩效理念和绩效意识，清楚绩效评价工作，对项目立项申报应统一申报内容、明确申报要求，强调制定清晰的、细化的定性、定量绩效目标。</w:t>
      </w:r>
    </w:p>
    <w:p>
      <w:pPr>
        <w:pStyle w:val="70"/>
        <w:widowControl w:val="0"/>
        <w:ind w:firstLine="640"/>
        <w:rPr>
          <w:lang w:eastAsia="zh-CN"/>
        </w:rPr>
      </w:pPr>
      <w:r>
        <w:rPr>
          <w:rFonts w:hint="eastAsia"/>
          <w:lang w:eastAsia="zh-CN"/>
        </w:rPr>
        <w:t>（二）建议安泽县和川镇人民政府尽快针对项目特点制定资金管理制度，针对石渠村乡村振兴示范村建设项目资金制定专项资金管理制度，使工作开展与评判有据可循、有据可依。</w:t>
      </w:r>
    </w:p>
    <w:p>
      <w:pPr>
        <w:pStyle w:val="70"/>
        <w:widowControl w:val="0"/>
        <w:ind w:firstLine="640"/>
        <w:rPr>
          <w:lang w:eastAsia="zh-CN"/>
        </w:rPr>
      </w:pPr>
      <w:r>
        <w:rPr>
          <w:rFonts w:hint="eastAsia"/>
          <w:lang w:eastAsia="zh-CN"/>
        </w:rPr>
        <w:t>（三）建议安泽县和川镇人民政府尽快制定项目专项管护维修的监管制度，加强监管力度，维护村内设施设备安全，定期对设施设备进行“体检”，全方位对设施设备的使用状况和安全隐患进行排查，延长设施设备使用寿命。</w:t>
      </w:r>
    </w:p>
    <w:p>
      <w:pPr>
        <w:pStyle w:val="4"/>
        <w:keepNext w:val="0"/>
        <w:keepLines w:val="0"/>
        <w:widowControl w:val="0"/>
        <w:ind w:firstLine="640"/>
        <w:rPr>
          <w:lang w:eastAsia="zh-CN"/>
        </w:rPr>
      </w:pPr>
      <w:bookmarkStart w:id="175" w:name="_Hlk152840810"/>
      <w:r>
        <w:rPr>
          <w:rFonts w:hint="eastAsia"/>
          <w:lang w:eastAsia="zh-CN"/>
        </w:rPr>
        <w:t>八、绩效评价结果应用建议</w:t>
      </w:r>
      <w:bookmarkEnd w:id="170"/>
      <w:bookmarkEnd w:id="171"/>
      <w:bookmarkEnd w:id="172"/>
      <w:bookmarkEnd w:id="173"/>
      <w:bookmarkEnd w:id="174"/>
    </w:p>
    <w:bookmarkEnd w:id="175"/>
    <w:p>
      <w:pPr>
        <w:widowControl w:val="0"/>
        <w:ind w:firstLine="640"/>
        <w:rPr>
          <w:lang w:eastAsia="zh-CN"/>
        </w:rPr>
      </w:pPr>
      <w:r>
        <w:rPr>
          <w:rFonts w:hint="eastAsia"/>
          <w:lang w:eastAsia="zh-CN"/>
        </w:rPr>
        <w:t>绩效评价结果应用既是开展绩效评价工作的基本前提，又是加强财政支出管理，增强资金绩效理念，合理配置公共资源，优化财政支出结构，强化资金管理水平，提高资金使用效益的重要手段。我们对本次绩效评价结果的应用给出如下建议：用以保证项目资金使用管理的规范性、安全性和有效性，为石渠村乡村振兴示范村建设项目后期资金的投入、管理、使用等决策提供依据，实现项目管理成本最低化、效率最优化、绩效最大化。</w:t>
      </w:r>
    </w:p>
    <w:p>
      <w:pPr>
        <w:widowControl w:val="0"/>
        <w:ind w:firstLine="640"/>
        <w:rPr>
          <w:lang w:eastAsia="zh-CN"/>
        </w:rPr>
      </w:pPr>
      <w:r>
        <w:rPr>
          <w:rFonts w:hint="eastAsia"/>
          <w:lang w:eastAsia="zh-CN"/>
        </w:rPr>
        <w:t>（一）安泽县财政局应该以一定的形式，将评价项目绩效分值、等级，存在的问题及相关建议及时反馈给被评价单位，使其了解绩效评价结果，有助于被评价单位发扬成绩，整改问题，引申并延续绩效评价结果的导向与激励作用。</w:t>
      </w:r>
    </w:p>
    <w:p>
      <w:pPr>
        <w:widowControl w:val="0"/>
        <w:ind w:firstLine="640"/>
        <w:rPr>
          <w:lang w:eastAsia="zh-CN"/>
        </w:rPr>
      </w:pPr>
      <w:r>
        <w:rPr>
          <w:rFonts w:hint="eastAsia"/>
          <w:lang w:eastAsia="zh-CN"/>
        </w:rPr>
        <w:t>（二）根据绩效评价结果为该项目后续开展及下一年度预算资金安排提供参考。</w:t>
      </w:r>
    </w:p>
    <w:p>
      <w:pPr>
        <w:widowControl w:val="0"/>
        <w:ind w:firstLine="640"/>
        <w:rPr>
          <w:lang w:eastAsia="zh-CN"/>
        </w:rPr>
      </w:pPr>
      <w:r>
        <w:rPr>
          <w:rFonts w:hint="eastAsia"/>
          <w:lang w:eastAsia="zh-CN"/>
        </w:rPr>
        <w:t>（三）对好的经验和做法进行政府内部宣传和工作交流，以便其它项目学习借鉴，少走弯路，更好实现成本效益。</w:t>
      </w:r>
    </w:p>
    <w:p>
      <w:pPr>
        <w:widowControl w:val="0"/>
        <w:ind w:firstLine="640"/>
        <w:rPr>
          <w:lang w:eastAsia="zh-CN"/>
        </w:rPr>
      </w:pPr>
      <w:r>
        <w:rPr>
          <w:rFonts w:hint="eastAsia"/>
          <w:lang w:eastAsia="zh-CN"/>
        </w:rPr>
        <w:t>（四）将评价结果作为项目实施单位年度工作评价的一部分，对相关人员形成约束，督促其规范资金管理使用、提高工作效率、加快工程进度。</w:t>
      </w:r>
    </w:p>
    <w:p>
      <w:pPr>
        <w:pStyle w:val="4"/>
        <w:keepNext w:val="0"/>
        <w:keepLines w:val="0"/>
        <w:widowControl w:val="0"/>
        <w:ind w:firstLine="640"/>
        <w:rPr>
          <w:lang w:eastAsia="zh-CN"/>
        </w:rPr>
      </w:pPr>
      <w:bookmarkStart w:id="176" w:name="_Hlk152840830"/>
      <w:r>
        <w:rPr>
          <w:rFonts w:hint="eastAsia"/>
          <w:lang w:eastAsia="zh-CN"/>
        </w:rPr>
        <w:t>九、报告附件</w:t>
      </w:r>
    </w:p>
    <w:bookmarkEnd w:id="176"/>
    <w:p>
      <w:pPr>
        <w:widowControl w:val="0"/>
        <w:spacing w:line="240" w:lineRule="auto"/>
        <w:ind w:firstLine="640"/>
        <w:rPr>
          <w:lang w:eastAsia="zh-CN"/>
        </w:rPr>
      </w:pPr>
      <w:r>
        <w:rPr>
          <w:rFonts w:hint="eastAsia"/>
          <w:lang w:eastAsia="zh-CN"/>
        </w:rPr>
        <w:t>附件1.绩效评价依据</w:t>
      </w:r>
    </w:p>
    <w:p>
      <w:pPr>
        <w:widowControl w:val="0"/>
        <w:spacing w:line="240" w:lineRule="auto"/>
        <w:ind w:firstLine="640"/>
        <w:rPr>
          <w:lang w:eastAsia="zh-CN"/>
        </w:rPr>
      </w:pPr>
      <w:r>
        <w:rPr>
          <w:rFonts w:hint="eastAsia"/>
          <w:lang w:eastAsia="zh-CN"/>
        </w:rPr>
        <w:t>附件2.评价人员安排表</w:t>
      </w:r>
    </w:p>
    <w:p>
      <w:pPr>
        <w:widowControl w:val="0"/>
        <w:spacing w:line="240" w:lineRule="auto"/>
        <w:ind w:firstLine="640"/>
        <w:rPr>
          <w:lang w:eastAsia="zh-CN"/>
        </w:rPr>
      </w:pPr>
      <w:r>
        <w:rPr>
          <w:lang w:eastAsia="zh-CN"/>
        </w:rPr>
        <w:t>附件</w:t>
      </w:r>
      <w:r>
        <w:rPr>
          <w:rFonts w:hint="eastAsia"/>
          <w:lang w:eastAsia="zh-CN"/>
        </w:rPr>
        <w:t>3</w:t>
      </w:r>
      <w:r>
        <w:rPr>
          <w:lang w:eastAsia="zh-CN"/>
        </w:rPr>
        <w:t>.</w:t>
      </w:r>
      <w:r>
        <w:rPr>
          <w:rFonts w:hint="eastAsia"/>
          <w:lang w:eastAsia="zh-CN"/>
        </w:rPr>
        <w:t>绩效评价指标体系打分表</w:t>
      </w:r>
    </w:p>
    <w:p>
      <w:pPr>
        <w:widowControl w:val="0"/>
        <w:spacing w:line="240" w:lineRule="auto"/>
        <w:ind w:firstLine="640"/>
        <w:rPr>
          <w:lang w:eastAsia="zh-CN"/>
        </w:rPr>
      </w:pPr>
      <w:r>
        <w:rPr>
          <w:lang w:eastAsia="zh-CN"/>
        </w:rPr>
        <w:t>附件</w:t>
      </w:r>
      <w:r>
        <w:rPr>
          <w:rFonts w:hint="eastAsia"/>
          <w:lang w:eastAsia="zh-CN"/>
        </w:rPr>
        <w:t>4</w:t>
      </w:r>
      <w:r>
        <w:rPr>
          <w:lang w:eastAsia="zh-CN"/>
        </w:rPr>
        <w:t>.</w:t>
      </w:r>
      <w:r>
        <w:rPr>
          <w:rFonts w:hint="eastAsia"/>
          <w:lang w:eastAsia="zh-CN"/>
        </w:rPr>
        <w:t>满意度调查分析报告</w:t>
      </w:r>
    </w:p>
    <w:p>
      <w:pPr>
        <w:widowControl w:val="0"/>
        <w:spacing w:line="240" w:lineRule="auto"/>
        <w:ind w:firstLine="640"/>
        <w:rPr>
          <w:lang w:eastAsia="zh-CN"/>
        </w:rPr>
      </w:pPr>
      <w:r>
        <w:rPr>
          <w:rFonts w:hint="eastAsia"/>
          <w:lang w:eastAsia="zh-CN"/>
        </w:rPr>
        <w:t>附件5</w:t>
      </w:r>
      <w:r>
        <w:rPr>
          <w:lang w:eastAsia="zh-CN"/>
        </w:rPr>
        <w:t>.</w:t>
      </w:r>
      <w:r>
        <w:rPr>
          <w:rFonts w:hint="eastAsia"/>
          <w:lang w:eastAsia="zh-CN"/>
        </w:rPr>
        <w:t>影像资料</w:t>
      </w:r>
    </w:p>
    <w:p>
      <w:pPr>
        <w:widowControl w:val="0"/>
        <w:spacing w:line="240" w:lineRule="auto"/>
        <w:ind w:firstLine="438" w:firstLineChars="137"/>
        <w:rPr>
          <w:rFonts w:ascii="黑体" w:hAnsi="黑体" w:eastAsia="黑体" w:cs="Times New Roman"/>
          <w:lang w:eastAsia="zh-CN"/>
        </w:rPr>
      </w:pPr>
      <w:r>
        <w:rPr>
          <w:rFonts w:ascii="黑体" w:hAnsi="黑体" w:eastAsia="黑体"/>
          <w:lang w:eastAsia="zh-CN"/>
        </w:rPr>
        <w:br w:type="page"/>
      </w:r>
    </w:p>
    <w:p>
      <w:pPr>
        <w:pStyle w:val="55"/>
        <w:widowControl w:val="0"/>
        <w:rPr>
          <w:rFonts w:ascii="黑体" w:hAnsi="黑体" w:eastAsia="黑体"/>
          <w:sz w:val="32"/>
        </w:rPr>
      </w:pPr>
      <w:bookmarkStart w:id="177" w:name="_Toc91979658"/>
      <w:bookmarkStart w:id="178" w:name="_Toc96054867"/>
      <w:bookmarkStart w:id="179" w:name="_Toc97086076"/>
      <w:r>
        <w:rPr>
          <w:rFonts w:ascii="黑体" w:hAnsi="黑体" w:eastAsia="黑体"/>
          <w:sz w:val="32"/>
        </w:rPr>
        <w:t>附件1 绩效评价</w:t>
      </w:r>
      <w:bookmarkEnd w:id="177"/>
      <w:r>
        <w:rPr>
          <w:rFonts w:hint="eastAsia" w:ascii="黑体" w:hAnsi="黑体" w:eastAsia="黑体"/>
          <w:sz w:val="32"/>
        </w:rPr>
        <w:t>依据</w:t>
      </w:r>
      <w:bookmarkEnd w:id="178"/>
      <w:bookmarkEnd w:id="179"/>
    </w:p>
    <w:p>
      <w:pPr>
        <w:pStyle w:val="20"/>
        <w:widowControl w:val="0"/>
        <w:spacing w:line="240" w:lineRule="auto"/>
        <w:ind w:firstLine="643"/>
        <w:jc w:val="center"/>
        <w:rPr>
          <w:rFonts w:ascii="宋体" w:hAnsi="宋体" w:eastAsia="宋体" w:cs="宋体"/>
          <w:b/>
          <w:kern w:val="2"/>
          <w:sz w:val="32"/>
          <w:szCs w:val="32"/>
          <w:lang w:eastAsia="zh-CN"/>
        </w:rPr>
      </w:pPr>
    </w:p>
    <w:p>
      <w:pPr>
        <w:pStyle w:val="20"/>
        <w:widowControl w:val="0"/>
        <w:spacing w:line="240" w:lineRule="auto"/>
        <w:ind w:firstLine="723"/>
        <w:jc w:val="center"/>
        <w:rPr>
          <w:rFonts w:cs="仿宋"/>
          <w:b/>
          <w:sz w:val="36"/>
          <w:szCs w:val="36"/>
          <w:lang w:eastAsia="zh-CN"/>
        </w:rPr>
      </w:pPr>
      <w:r>
        <w:rPr>
          <w:rFonts w:hint="eastAsia" w:cs="仿宋"/>
          <w:b/>
          <w:kern w:val="2"/>
          <w:sz w:val="36"/>
          <w:szCs w:val="36"/>
          <w:lang w:eastAsia="zh-CN"/>
        </w:rPr>
        <w:t>绩效评价依据</w:t>
      </w:r>
    </w:p>
    <w:p>
      <w:pPr>
        <w:pStyle w:val="20"/>
        <w:widowControl w:val="0"/>
        <w:spacing w:line="240" w:lineRule="auto"/>
        <w:ind w:firstLine="643"/>
        <w:jc w:val="center"/>
        <w:rPr>
          <w:rFonts w:ascii="宋体" w:hAnsi="宋体" w:eastAsia="宋体" w:cs="宋体"/>
          <w:b/>
          <w:sz w:val="32"/>
          <w:szCs w:val="32"/>
          <w:lang w:eastAsia="zh-CN"/>
        </w:rPr>
      </w:pPr>
    </w:p>
    <w:p>
      <w:pPr>
        <w:widowControl w:val="0"/>
        <w:ind w:firstLine="640"/>
        <w:rPr>
          <w:lang w:eastAsia="zh-CN"/>
        </w:rPr>
      </w:pPr>
      <w:r>
        <w:rPr>
          <w:rFonts w:hint="eastAsia"/>
          <w:lang w:eastAsia="zh-CN"/>
        </w:rPr>
        <w:t>（1）《中华人民共和国预算法》；</w:t>
      </w:r>
    </w:p>
    <w:p>
      <w:pPr>
        <w:widowControl w:val="0"/>
        <w:ind w:firstLine="640"/>
        <w:rPr>
          <w:lang w:eastAsia="zh-CN"/>
        </w:rPr>
      </w:pPr>
      <w:r>
        <w:rPr>
          <w:rFonts w:hint="eastAsia"/>
          <w:lang w:eastAsia="zh-CN"/>
        </w:rPr>
        <w:t>（2）《中共中央 国务院关于全面实施预算绩效管理的意见》（中发〔2018〕34号）；</w:t>
      </w:r>
    </w:p>
    <w:p>
      <w:pPr>
        <w:widowControl w:val="0"/>
        <w:ind w:firstLine="640"/>
        <w:rPr>
          <w:lang w:eastAsia="zh-CN"/>
        </w:rPr>
      </w:pPr>
      <w:r>
        <w:rPr>
          <w:rFonts w:hint="eastAsia"/>
          <w:lang w:eastAsia="zh-CN"/>
        </w:rPr>
        <w:t>（3）《财政部关于贯彻落实&lt;中共中央 国务院关于全面实施预算绩效管理的意见&gt;的通知》（财预〔2018〕167号）；</w:t>
      </w:r>
    </w:p>
    <w:p>
      <w:pPr>
        <w:widowControl w:val="0"/>
        <w:ind w:firstLine="640"/>
        <w:rPr>
          <w:lang w:eastAsia="zh-CN"/>
        </w:rPr>
      </w:pPr>
      <w:r>
        <w:rPr>
          <w:rFonts w:hint="eastAsia"/>
          <w:lang w:eastAsia="zh-CN"/>
        </w:rPr>
        <w:t>（4）《项目支出绩效评价管理办法》（财预〔2020〕10号）；</w:t>
      </w:r>
    </w:p>
    <w:p>
      <w:pPr>
        <w:widowControl w:val="0"/>
        <w:ind w:firstLine="640"/>
        <w:rPr>
          <w:lang w:eastAsia="zh-CN"/>
        </w:rPr>
      </w:pPr>
      <w:r>
        <w:rPr>
          <w:rFonts w:hint="eastAsia"/>
          <w:lang w:eastAsia="zh-CN"/>
        </w:rPr>
        <w:t>（5）《中共山西省委 山西省人民政府关于全面实施预算绩效管理的实施意见》（</w:t>
      </w:r>
      <w:r>
        <w:fldChar w:fldCharType="begin"/>
      </w:r>
      <w:r>
        <w:instrText xml:space="preserve"> HYPERLINK "http://10.120.1.20/myDoInfo/action/FileDownAndDelAction.do?method=Down&amp;id=354198&amp;tb_name=info_attach" </w:instrText>
      </w:r>
      <w:r>
        <w:fldChar w:fldCharType="separate"/>
      </w:r>
      <w:r>
        <w:rPr>
          <w:rFonts w:hint="eastAsia"/>
          <w:lang w:eastAsia="zh-CN"/>
        </w:rPr>
        <w:t>晋发〔2018〕39号</w:t>
      </w:r>
      <w:r>
        <w:rPr>
          <w:rFonts w:hint="eastAsia"/>
          <w:lang w:eastAsia="zh-CN"/>
        </w:rPr>
        <w:fldChar w:fldCharType="end"/>
      </w:r>
      <w:r>
        <w:rPr>
          <w:rFonts w:hint="eastAsia"/>
          <w:lang w:eastAsia="zh-CN"/>
        </w:rPr>
        <w:t>）；</w:t>
      </w:r>
    </w:p>
    <w:p>
      <w:pPr>
        <w:pStyle w:val="42"/>
        <w:widowControl w:val="0"/>
        <w:ind w:firstLine="640" w:firstLineChars="200"/>
        <w:jc w:val="both"/>
        <w:outlineLvl w:val="9"/>
        <w:rPr>
          <w:rFonts w:ascii="仿宋" w:hAnsi="仿宋" w:eastAsia="仿宋" w:cs="宋体"/>
          <w:sz w:val="32"/>
          <w:szCs w:val="32"/>
        </w:rPr>
      </w:pPr>
      <w:r>
        <w:rPr>
          <w:rFonts w:hint="eastAsia" w:ascii="仿宋" w:hAnsi="仿宋" w:eastAsia="仿宋" w:cs="宋体"/>
          <w:sz w:val="32"/>
          <w:szCs w:val="32"/>
        </w:rPr>
        <w:t>（6）</w:t>
      </w:r>
      <w:r>
        <w:rPr>
          <w:rFonts w:ascii="仿宋" w:hAnsi="仿宋" w:eastAsia="仿宋" w:cs="宋体"/>
          <w:sz w:val="32"/>
          <w:szCs w:val="32"/>
        </w:rPr>
        <w:t>《</w:t>
      </w:r>
      <w:r>
        <w:rPr>
          <w:rFonts w:hint="eastAsia" w:ascii="仿宋" w:hAnsi="仿宋" w:eastAsia="仿宋" w:cs="宋体"/>
          <w:sz w:val="32"/>
          <w:szCs w:val="32"/>
        </w:rPr>
        <w:t>安泽县财政局关于县级项目支出绩效评价管理办法（试行）的通知</w:t>
      </w:r>
      <w:r>
        <w:rPr>
          <w:rFonts w:ascii="仿宋" w:hAnsi="仿宋" w:eastAsia="仿宋" w:cs="宋体"/>
          <w:sz w:val="32"/>
          <w:szCs w:val="32"/>
        </w:rPr>
        <w:t>》（</w:t>
      </w:r>
      <w:r>
        <w:rPr>
          <w:rFonts w:hint="eastAsia" w:ascii="仿宋" w:hAnsi="仿宋" w:eastAsia="仿宋" w:cs="宋体"/>
          <w:sz w:val="32"/>
          <w:szCs w:val="32"/>
        </w:rPr>
        <w:t>安财绩</w:t>
      </w:r>
      <w:r>
        <w:rPr>
          <w:rFonts w:ascii="仿宋" w:hAnsi="仿宋" w:eastAsia="仿宋" w:cs="宋体"/>
          <w:sz w:val="32"/>
          <w:szCs w:val="32"/>
        </w:rPr>
        <w:t>〔2021〕7号）；</w:t>
      </w:r>
    </w:p>
    <w:p>
      <w:pPr>
        <w:pStyle w:val="42"/>
        <w:widowControl w:val="0"/>
        <w:ind w:firstLine="640" w:firstLineChars="200"/>
        <w:jc w:val="both"/>
        <w:outlineLvl w:val="9"/>
        <w:rPr>
          <w:rFonts w:ascii="仿宋" w:hAnsi="仿宋" w:eastAsia="仿宋" w:cs="宋体"/>
          <w:sz w:val="32"/>
          <w:szCs w:val="32"/>
        </w:rPr>
      </w:pPr>
      <w:r>
        <w:rPr>
          <w:rFonts w:hint="eastAsia" w:ascii="仿宋" w:hAnsi="仿宋" w:eastAsia="仿宋" w:cs="宋体"/>
          <w:sz w:val="32"/>
          <w:szCs w:val="32"/>
        </w:rPr>
        <w:t>（7）《</w:t>
      </w:r>
      <w:r>
        <w:rPr>
          <w:rFonts w:ascii="仿宋" w:hAnsi="仿宋" w:eastAsia="仿宋" w:cs="宋体"/>
          <w:sz w:val="32"/>
          <w:szCs w:val="32"/>
        </w:rPr>
        <w:t>安泽县</w:t>
      </w:r>
      <w:r>
        <w:rPr>
          <w:rFonts w:hint="eastAsia" w:ascii="仿宋" w:hAnsi="仿宋" w:eastAsia="仿宋" w:cs="宋体"/>
          <w:sz w:val="32"/>
          <w:szCs w:val="32"/>
        </w:rPr>
        <w:t>财政局关于印发&lt;202</w:t>
      </w:r>
      <w:r>
        <w:rPr>
          <w:rFonts w:ascii="仿宋" w:hAnsi="仿宋" w:eastAsia="仿宋" w:cs="宋体"/>
          <w:sz w:val="32"/>
          <w:szCs w:val="32"/>
        </w:rPr>
        <w:t>3</w:t>
      </w:r>
      <w:r>
        <w:rPr>
          <w:rFonts w:hint="eastAsia" w:ascii="仿宋" w:hAnsi="仿宋" w:eastAsia="仿宋" w:cs="宋体"/>
          <w:sz w:val="32"/>
          <w:szCs w:val="32"/>
        </w:rPr>
        <w:t>年度财政重点绩效评价实施方案&gt;的通知》（安财绩〔20</w:t>
      </w:r>
      <w:r>
        <w:rPr>
          <w:rFonts w:ascii="仿宋" w:hAnsi="仿宋" w:eastAsia="仿宋" w:cs="宋体"/>
          <w:sz w:val="32"/>
          <w:szCs w:val="32"/>
        </w:rPr>
        <w:t>23</w:t>
      </w:r>
      <w:r>
        <w:rPr>
          <w:rFonts w:hint="eastAsia" w:ascii="仿宋" w:hAnsi="仿宋" w:eastAsia="仿宋" w:cs="宋体"/>
          <w:sz w:val="32"/>
          <w:szCs w:val="32"/>
        </w:rPr>
        <w:t>〕</w:t>
      </w:r>
      <w:r>
        <w:rPr>
          <w:rFonts w:ascii="仿宋" w:hAnsi="仿宋" w:eastAsia="仿宋" w:cs="宋体"/>
          <w:sz w:val="32"/>
          <w:szCs w:val="32"/>
        </w:rPr>
        <w:t>5</w:t>
      </w:r>
      <w:r>
        <w:rPr>
          <w:rFonts w:hint="eastAsia" w:ascii="仿宋" w:hAnsi="仿宋" w:eastAsia="仿宋" w:cs="宋体"/>
          <w:sz w:val="32"/>
          <w:szCs w:val="32"/>
        </w:rPr>
        <w:t>号）；</w:t>
      </w:r>
    </w:p>
    <w:p>
      <w:pPr>
        <w:widowControl w:val="0"/>
        <w:ind w:firstLine="640"/>
        <w:rPr>
          <w:lang w:eastAsia="zh-CN"/>
        </w:rPr>
      </w:pPr>
      <w:r>
        <w:rPr>
          <w:rFonts w:hint="eastAsia"/>
          <w:lang w:eastAsia="zh-CN"/>
        </w:rPr>
        <w:t>（</w:t>
      </w:r>
      <w:r>
        <w:rPr>
          <w:lang w:eastAsia="zh-CN"/>
        </w:rPr>
        <w:t>8</w:t>
      </w:r>
      <w:r>
        <w:rPr>
          <w:rFonts w:hint="eastAsia"/>
          <w:lang w:eastAsia="zh-CN"/>
        </w:rPr>
        <w:t>）其他有关的法律、法规规章、政策文件。</w:t>
      </w:r>
    </w:p>
    <w:p>
      <w:pPr>
        <w:widowControl w:val="0"/>
        <w:spacing w:line="240" w:lineRule="auto"/>
        <w:ind w:firstLine="640"/>
        <w:rPr>
          <w:rFonts w:ascii="黑体" w:hAnsi="黑体" w:eastAsia="黑体"/>
          <w:lang w:eastAsia="zh-CN"/>
        </w:rPr>
      </w:pPr>
      <w:r>
        <w:rPr>
          <w:rFonts w:ascii="黑体" w:hAnsi="黑体" w:eastAsia="黑体"/>
          <w:lang w:eastAsia="zh-CN"/>
        </w:rPr>
        <w:br w:type="page"/>
      </w:r>
    </w:p>
    <w:p>
      <w:pPr>
        <w:pStyle w:val="57"/>
        <w:widowControl w:val="0"/>
        <w:rPr>
          <w:rFonts w:ascii="黑体" w:hAnsi="黑体" w:eastAsia="黑体"/>
          <w:sz w:val="32"/>
        </w:rPr>
      </w:pPr>
      <w:bookmarkStart w:id="180" w:name="_Toc91979659"/>
      <w:bookmarkStart w:id="181" w:name="_Toc97086077"/>
      <w:bookmarkStart w:id="182" w:name="_Toc90472425"/>
      <w:bookmarkStart w:id="183" w:name="_Toc96054868"/>
      <w:r>
        <w:rPr>
          <w:rFonts w:ascii="黑体" w:hAnsi="黑体" w:eastAsia="黑体"/>
          <w:sz w:val="32"/>
        </w:rPr>
        <w:t>附件</w:t>
      </w:r>
      <w:r>
        <w:rPr>
          <w:rFonts w:hint="eastAsia" w:ascii="黑体" w:hAnsi="黑体" w:eastAsia="黑体"/>
          <w:sz w:val="32"/>
        </w:rPr>
        <w:t>2</w:t>
      </w:r>
      <w:r>
        <w:rPr>
          <w:rFonts w:ascii="黑体" w:hAnsi="黑体" w:eastAsia="黑体"/>
          <w:sz w:val="32"/>
        </w:rPr>
        <w:t xml:space="preserve"> 评价人员安排表</w:t>
      </w:r>
      <w:bookmarkEnd w:id="180"/>
      <w:bookmarkEnd w:id="181"/>
      <w:bookmarkEnd w:id="182"/>
      <w:bookmarkEnd w:id="183"/>
    </w:p>
    <w:p>
      <w:pPr>
        <w:pStyle w:val="13"/>
        <w:spacing w:line="520" w:lineRule="exact"/>
        <w:ind w:firstLine="0" w:firstLineChars="0"/>
        <w:rPr>
          <w:rFonts w:hint="default" w:ascii="仿宋" w:hAnsi="仿宋" w:eastAsia="仿宋" w:cs="仿宋"/>
          <w:b/>
          <w:bCs/>
          <w:color w:val="000000"/>
          <w:sz w:val="36"/>
          <w:szCs w:val="36"/>
        </w:rPr>
      </w:pPr>
    </w:p>
    <w:p>
      <w:pPr>
        <w:pStyle w:val="13"/>
        <w:spacing w:line="520" w:lineRule="exact"/>
        <w:ind w:firstLine="0" w:firstLineChars="0"/>
        <w:jc w:val="center"/>
        <w:rPr>
          <w:rFonts w:hint="default" w:ascii="仿宋_GB2312" w:hAnsi="仿宋_GB2312" w:eastAsia="仿宋_GB2312" w:cs="仿宋_GB2312"/>
          <w:sz w:val="28"/>
          <w:szCs w:val="28"/>
        </w:rPr>
      </w:pPr>
      <w:r>
        <w:rPr>
          <w:rFonts w:ascii="仿宋" w:hAnsi="仿宋" w:eastAsia="仿宋" w:cs="仿宋"/>
          <w:b/>
          <w:bCs/>
          <w:color w:val="000000"/>
          <w:sz w:val="36"/>
          <w:szCs w:val="36"/>
        </w:rPr>
        <w:t>评价人员安排表</w:t>
      </w:r>
    </w:p>
    <w:p>
      <w:pPr>
        <w:widowControl w:val="0"/>
        <w:ind w:firstLine="640"/>
        <w:rPr>
          <w:lang w:eastAsia="zh-CN"/>
        </w:rPr>
      </w:pPr>
      <w:r>
        <w:rPr>
          <w:rFonts w:hint="eastAsia"/>
          <w:lang w:eastAsia="zh-CN"/>
        </w:rPr>
        <w:t>山西天晨资产评估有限公司成立三个评价小组进行此次绩效评价，具体评价人员安排如下：</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9"/>
        <w:gridCol w:w="1212"/>
        <w:gridCol w:w="5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blHeader/>
          <w:jc w:val="center"/>
        </w:trPr>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bookmarkStart w:id="184" w:name="_Toc91979660"/>
            <w:bookmarkStart w:id="185" w:name="_Toc90472426"/>
            <w:r>
              <w:rPr>
                <w:rFonts w:hint="eastAsia" w:cs="宋体"/>
                <w:kern w:val="2"/>
                <w:sz w:val="21"/>
                <w:szCs w:val="21"/>
                <w:lang w:eastAsia="zh-CN"/>
              </w:rPr>
              <w:t>项目分组</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人员分工</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姓名</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人员职责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0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主评人</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梁云龙</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负责绩效评价项目的全面工作，具体包括前期收集评价资料、评价方案及评价报告的编制等工作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实地勘察验证一组</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组长</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梁云龙</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负责前期收集评价资料，绩效评价项目现场调查的联系、协调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lang w:eastAsia="zh-CN"/>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组员</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曹文婕</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负责前期收集评价资料，现场调查资料的收集及复核、访谈记录等工作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lang w:eastAsia="zh-CN"/>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组员</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rPr>
              <w:t>任思觎</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负责前期收集评价资料，现场调查中调查问卷的收集、现场调查照片等工作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实地勘察验证二组</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组长</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袁永伟</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负责前期收集评价资料，绩效评价项目现场调查的联系、协调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lang w:eastAsia="zh-CN"/>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组员</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亓广元</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负责前期收集评价资料，现场调查资料的收集及复核、访谈记录等工作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lang w:eastAsia="zh-CN"/>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组员</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王连成</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负责前期收集评价资料，现场调查中调查问卷的收集、现场调查照片等工作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后勤组</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组长</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刘敏宗</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负责绩效评价方案、绩效评价报告的审核等工作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lang w:eastAsia="zh-CN"/>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组员</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张杰</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负责对收集的评价资料进行汇总、分析及评价档案归档等工作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lang w:eastAsia="zh-CN"/>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lang w:eastAsia="zh-CN"/>
              </w:rPr>
              <w:t>组员</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center"/>
              <w:rPr>
                <w:rFonts w:cs="宋体"/>
                <w:kern w:val="2"/>
                <w:sz w:val="21"/>
                <w:szCs w:val="21"/>
              </w:rPr>
            </w:pPr>
            <w:r>
              <w:rPr>
                <w:rFonts w:hint="eastAsia" w:cs="宋体"/>
                <w:kern w:val="2"/>
                <w:sz w:val="21"/>
                <w:szCs w:val="21"/>
              </w:rPr>
              <w:t>辛琳</w:t>
            </w:r>
          </w:p>
        </w:tc>
        <w:tc>
          <w:tcPr>
            <w:tcW w:w="31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line="300" w:lineRule="exact"/>
              <w:ind w:firstLine="0" w:firstLineChars="0"/>
              <w:jc w:val="left"/>
              <w:rPr>
                <w:rFonts w:cs="宋体"/>
                <w:kern w:val="2"/>
                <w:sz w:val="21"/>
                <w:szCs w:val="21"/>
                <w:lang w:eastAsia="zh-CN"/>
              </w:rPr>
            </w:pPr>
            <w:r>
              <w:rPr>
                <w:rFonts w:hint="eastAsia" w:cs="宋体"/>
                <w:kern w:val="2"/>
                <w:sz w:val="21"/>
                <w:szCs w:val="21"/>
                <w:lang w:eastAsia="zh-CN"/>
              </w:rPr>
              <w:t>负责对收集的评价资料进行汇总、分析及打印装订评价报告等工作</w:t>
            </w:r>
          </w:p>
        </w:tc>
      </w:tr>
    </w:tbl>
    <w:p>
      <w:pPr>
        <w:widowControl w:val="0"/>
        <w:spacing w:line="240" w:lineRule="auto"/>
        <w:ind w:firstLine="0" w:firstLineChars="0"/>
        <w:jc w:val="left"/>
        <w:rPr>
          <w:rFonts w:ascii="黑体" w:hAnsi="黑体" w:eastAsia="黑体"/>
          <w:lang w:eastAsia="zh-CN"/>
        </w:rPr>
        <w:sectPr>
          <w:pgSz w:w="11906" w:h="16838"/>
          <w:pgMar w:top="1440" w:right="1800" w:bottom="1440" w:left="1800" w:header="720" w:footer="720" w:gutter="0"/>
          <w:pgNumType w:start="1"/>
          <w:cols w:space="720" w:num="1"/>
          <w:docGrid w:type="lines" w:linePitch="312" w:charSpace="0"/>
        </w:sectPr>
      </w:pPr>
    </w:p>
    <w:p>
      <w:pPr>
        <w:pStyle w:val="58"/>
        <w:widowControl w:val="0"/>
        <w:rPr>
          <w:rFonts w:ascii="黑体" w:hAnsi="黑体" w:eastAsia="黑体"/>
          <w:sz w:val="32"/>
          <w:szCs w:val="32"/>
        </w:rPr>
      </w:pPr>
      <w:bookmarkStart w:id="186" w:name="_Toc96054869"/>
      <w:bookmarkStart w:id="187" w:name="_Toc97086078"/>
      <w:r>
        <w:rPr>
          <w:rFonts w:ascii="黑体" w:hAnsi="黑体" w:eastAsia="黑体"/>
          <w:sz w:val="32"/>
          <w:szCs w:val="32"/>
        </w:rPr>
        <w:t>附件</w:t>
      </w:r>
      <w:r>
        <w:rPr>
          <w:rFonts w:hint="eastAsia" w:ascii="黑体" w:hAnsi="黑体" w:eastAsia="黑体"/>
          <w:sz w:val="32"/>
          <w:szCs w:val="32"/>
        </w:rPr>
        <w:t>3</w:t>
      </w:r>
      <w:r>
        <w:rPr>
          <w:rFonts w:ascii="黑体" w:hAnsi="黑体" w:eastAsia="黑体"/>
          <w:sz w:val="32"/>
          <w:szCs w:val="32"/>
        </w:rPr>
        <w:t xml:space="preserve"> 绩效评价指标体系打分表</w:t>
      </w:r>
      <w:bookmarkEnd w:id="184"/>
      <w:bookmarkEnd w:id="185"/>
      <w:bookmarkEnd w:id="186"/>
      <w:bookmarkEnd w:id="187"/>
    </w:p>
    <w:p>
      <w:pPr>
        <w:widowControl w:val="0"/>
        <w:spacing w:line="240" w:lineRule="auto"/>
        <w:ind w:firstLine="723"/>
        <w:jc w:val="center"/>
        <w:rPr>
          <w:rFonts w:cs="仿宋"/>
          <w:b/>
          <w:bCs/>
          <w:sz w:val="36"/>
          <w:szCs w:val="36"/>
          <w:lang w:eastAsia="zh-CN"/>
        </w:rPr>
      </w:pPr>
      <w:r>
        <w:rPr>
          <w:rFonts w:hint="eastAsia" w:cs="仿宋"/>
          <w:b/>
          <w:bCs/>
          <w:sz w:val="36"/>
          <w:szCs w:val="36"/>
          <w:lang w:eastAsia="zh-CN"/>
        </w:rPr>
        <w:t>石渠村乡村振兴示范村建设项目绩效评价指标体系打分表</w:t>
      </w:r>
    </w:p>
    <w:tbl>
      <w:tblPr>
        <w:tblStyle w:val="23"/>
        <w:tblW w:w="0" w:type="auto"/>
        <w:tblInd w:w="118" w:type="dxa"/>
        <w:tblLayout w:type="fixed"/>
        <w:tblCellMar>
          <w:top w:w="0" w:type="dxa"/>
          <w:left w:w="11" w:type="dxa"/>
          <w:bottom w:w="0" w:type="dxa"/>
          <w:right w:w="11" w:type="dxa"/>
        </w:tblCellMar>
      </w:tblPr>
      <w:tblGrid>
        <w:gridCol w:w="480"/>
        <w:gridCol w:w="543"/>
        <w:gridCol w:w="593"/>
        <w:gridCol w:w="1740"/>
        <w:gridCol w:w="570"/>
        <w:gridCol w:w="530"/>
        <w:gridCol w:w="531"/>
        <w:gridCol w:w="2313"/>
        <w:gridCol w:w="4303"/>
        <w:gridCol w:w="1017"/>
        <w:gridCol w:w="439"/>
        <w:gridCol w:w="749"/>
      </w:tblGrid>
      <w:tr>
        <w:tblPrEx>
          <w:tblCellMar>
            <w:top w:w="0" w:type="dxa"/>
            <w:left w:w="11" w:type="dxa"/>
            <w:bottom w:w="0" w:type="dxa"/>
            <w:right w:w="11" w:type="dxa"/>
          </w:tblCellMar>
        </w:tblPrEx>
        <w:trPr>
          <w:trHeight w:val="283" w:hRule="atLeast"/>
          <w:tblHeader/>
        </w:trPr>
        <w:tc>
          <w:tcPr>
            <w:tcW w:w="4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一级指标</w:t>
            </w:r>
          </w:p>
        </w:tc>
        <w:tc>
          <w:tcPr>
            <w:tcW w:w="543"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二级指标</w:t>
            </w:r>
          </w:p>
        </w:tc>
        <w:tc>
          <w:tcPr>
            <w:tcW w:w="593"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三级指标</w:t>
            </w:r>
          </w:p>
        </w:tc>
        <w:tc>
          <w:tcPr>
            <w:tcW w:w="1740"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指标解释</w:t>
            </w:r>
          </w:p>
        </w:tc>
        <w:tc>
          <w:tcPr>
            <w:tcW w:w="570"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标杆值</w:t>
            </w:r>
          </w:p>
        </w:tc>
        <w:tc>
          <w:tcPr>
            <w:tcW w:w="530"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评价标准</w:t>
            </w:r>
          </w:p>
        </w:tc>
        <w:tc>
          <w:tcPr>
            <w:tcW w:w="531"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权重</w:t>
            </w:r>
          </w:p>
        </w:tc>
        <w:tc>
          <w:tcPr>
            <w:tcW w:w="2313"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评分细则</w:t>
            </w:r>
          </w:p>
        </w:tc>
        <w:tc>
          <w:tcPr>
            <w:tcW w:w="4303"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评分过程</w:t>
            </w:r>
          </w:p>
        </w:tc>
        <w:tc>
          <w:tcPr>
            <w:tcW w:w="1017"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数据来源</w:t>
            </w:r>
          </w:p>
        </w:tc>
        <w:tc>
          <w:tcPr>
            <w:tcW w:w="439"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得分</w:t>
            </w:r>
          </w:p>
        </w:tc>
        <w:tc>
          <w:tcPr>
            <w:tcW w:w="749"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得分率</w:t>
            </w:r>
          </w:p>
        </w:tc>
      </w:tr>
      <w:tr>
        <w:tblPrEx>
          <w:tblCellMar>
            <w:top w:w="0" w:type="dxa"/>
            <w:left w:w="11" w:type="dxa"/>
            <w:bottom w:w="0" w:type="dxa"/>
            <w:right w:w="11" w:type="dxa"/>
          </w:tblCellMar>
        </w:tblPrEx>
        <w:trPr>
          <w:trHeight w:val="283" w:hRule="atLeast"/>
        </w:trPr>
        <w:tc>
          <w:tcPr>
            <w:tcW w:w="480"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决策</w:t>
            </w: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项目立项</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立项依据充分性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项目立项是否符合法律法规、相关政策、发展规划以及部门职责，用以反映和考核项目立项依据情况。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充分</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1.项目具有相关政策依据（国家、省部级或市级）及相关法律法规（1分）；2.项目与国家和地区的战略目标、发展规划、工作计划相匹配（1分）；3.项目与项目单位职责密切相关（1分）。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中央、省、市均颁布了巩固拓展脱贫攻坚成果同乡村振兴有效衔接有关精神文件，安泽县人民政府印发了关于《安泽县2022年统筹整合财政资金巩固拓展脱贫攻坚成果衔接推进乡村振兴的实施方案的通知》（安政农〔2022〕22号）文件，对石渠村进行示范村改造，项目立项具有国家、省级相关政策依据，得1分；符合经济社会发展规划和政府决策及安泽县乡村振兴战略规划，得1分；项目主要实施内容是石渠村乡村振兴示范村建设，使项目区绿化环境改善，经济发展水平提升，人民生活水平提高属于安泽县人民政府职责范围，得1分。综上，该指标满分3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项目立项书、立项通知等</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立项程序规范性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项目申请、设立过程是否符合相关要求，用以反映和考核项目立项的规范情况。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规范</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1.项目按照规定的程序申请设立（1分）；2.审批文件、材料符合相关要求（1分）；3.事前已经过必要的可行性研究、专家论证、风险评估、绩效评估、集体决策（1分）。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安泽县和川镇人民政府为贯彻落实中央、省、市关于巩固拓展脱贫攻坚成果同乡村振兴有效衔接有关精神，结合安泽县实际情况制定了《安泽县2022年统筹整合财政资金巩固拓展脱贫攻坚成果衔接推进乡村振兴的实施方案的通知》（安政农〔2022〕22号），撰写了安泽县和川镇石渠村乡村振兴示范村建设工程初步设计并取得了《安泽县行政审批服务管理局关于安泽县和川镇人民政府安泽县和川镇石渠村乡村振兴示范村建设工程初步设计及概算的批复》（安行审发〔2022〕54号）文件批复，项目设立，相关立项材料完整，得3分。综上，该指标满分3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实施方案、工作计划和相关手续等</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绩效目标</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绩效目标合理性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项目所设定的绩效目标是否依据充分，是否符合客观实际，用以反映和考核项目绩效目标与项目实施的相符情况。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合理</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项目设立绩效目标（1分）；2.项目绩效目标与实际工作内容具有相关性（1分）；3.项目预期产出效益和效果符合正常水平（1分）；4.与预算资金量相匹配（1分）。没有绩效目标（绩效目标不合理视为无绩效目标）（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根据初步设计、施工图设计及安泽县行政审批服务管理局关于安泽县和川镇人民政府安泽县和川镇石渠村乡村振兴示范村建设工程初步设计及概算的批复》（安行审发〔2022〕54号）等文件要求设立了项目自来水管改造、验收合格率、资金到位及时率等方面的绩效目标，但未设立经济效益，目标设置不全得0分；项目绩效目标与石渠村乡村振兴示范村建设项目具有相关性，得1分；项目产出效益与计划相符，得1分；项目编制了可行性报告、初步设计和施工图设计，目标与预算资金量相匹配，得1分。综上，该指标满分4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工作计划和绩效目标申报表</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75%</w:t>
            </w:r>
          </w:p>
        </w:tc>
      </w:tr>
      <w:tr>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绩效指标明确性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依据绩效目标设定的绩效指标是否清晰、细化、可衡量等，用以反映和考核项目绩效目标的明细化情况。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明确</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1.项目设置绩效目标（1分）；2.项目能细化分解具体的定量指标（1分）；3.项目能细化分解具体的定性指标（1分）。没有绩效目标（绩效目标不合理视为无绩效目标）（0分）。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项目绩效目标既有定量指标，也有定性指标，有工程建设方面的，也有社会、经济、生态效益方面的，但部分目标量化程度不足，如改善石渠村流域环境，得2分。综上，该指标满分3分，总得分2分。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工作计划和绩效目标申报表</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cs="宋体"/>
                <w:color w:val="000000"/>
                <w:sz w:val="21"/>
                <w:szCs w:val="21"/>
                <w:lang w:eastAsia="zh-CN"/>
              </w:rPr>
              <w:t>66.67</w:t>
            </w:r>
            <w:r>
              <w:rPr>
                <w:rFonts w:hint="eastAsia" w:cs="宋体"/>
                <w:color w:val="000000"/>
                <w:sz w:val="21"/>
                <w:szCs w:val="21"/>
                <w:lang w:eastAsia="zh-CN"/>
              </w:rPr>
              <w:t>%</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资金投入</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预算编制科学性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项目预算编制是否经过科学论证、有明确标准，资金额度与年度目标是否相适应，用以反映和考核项目预算编制的科学性、合理性情况。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科学</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1.预算编制是否经过科学论证（1分）；2.预算内容与项目内容相匹配（1分）；3.预算额度测算依据充分，按照国家标准编制（1分）；4.预算确定的项目投资额或资金量与工作任务相匹配（1分）。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预算经过安泽县财政预算评审中心审批，得1分；项目预算内容符合石渠村乡村振兴示范村建设项目建设内容，得1分；项目预算编制符合安泽县委、县政府的方针政策和工作要求，得1分；资金额度与项目工作任务相适应，得1分。综上，该指标满分4分，得分4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预算编申请文件等</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资金分配合理性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项目预算资金分配是否有测算依据，是否与地方实际需求相适应，用以反映和考核项目预算资金分配的科学性、合理性情况。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合理</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1.预算资金分配依据充分（1.5分）；2.资金分配额度合理，与项目单位或地方实际相适应（1.5分）。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根据《安泽县财政局 安泽县乡村振兴局关于下达2022年第二批统筹整合资金的通知》（安财农〔2022〕113号）、《安泽县财政局 安泽县乡村振兴局关于下达2022年第二批统筹整合资金的通知》（安财农〔2022〕118号）预算资金分配文件，对省、县二级资金预算指标额度做出了明确分配，项目编制了可行性报告、初步设计，预算资金分配依据充分，得1.5分；项目实际资金使用情况与预算安排相匹配，资金分配额度合理，保障了示范村工程建设的正常进行，与安泽县和川镇人民政府实际相适应，得1.5分。综上，该指标满分3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资金分配相关文件</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rPr>
          <w:trHeight w:val="283" w:hRule="atLeast"/>
        </w:trPr>
        <w:tc>
          <w:tcPr>
            <w:tcW w:w="480"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过程</w:t>
            </w: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资金管理</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资金到位及时率</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实际到位资金与预算资金的比率以及预算资金是否及时拨付，用以反映和考核资金落实情况和资金到位及时情况对项目实施的总体保障程度。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≥95%</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实际到位资金/财政预算下达资金×2分；资金及时拨付（1分）；有合理理由延期拨付，且延期时间在1个月内（0.5分）；无理由不及时（0分）。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项目总预算为1250万元，截止目前项目实际拨付1250万元，其中：省级资金500万元，县级资金750万元，资金到位率=1250/1250=100%，得2分，项目资金拨付及时，得1分。综上，该指标满分3分，总得分3分。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资金收入明细及凭证</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预算执行率</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项目预算资金是否按照计划执行，用以反映或考核项目预算执行情况。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≧95%</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款项接收单位实际支出资金/实际到位资金×100%≥95%（3分），每低1%扣3%分数，低于60%，不得分。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石渠村乡村振兴示范村建设项目实际到位资金共计1250万元，实际支出金额为1211.25万元，预算执行率=实际支出资金/实际到位资金×100%=1211.25/1250×100%=96.90%，得3分。综上，该指标满分3分，总得分3分。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资金支出明细及凭证</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资金使用合规性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项目资金使用是否符合项目财务管理制度规定，是否符合项目预算批复，用以反映和考核项目资金的规范运行情况。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合规</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1.符合国家财经法规和财务管理制度以及有关专项资金管理办法的规定（1分）；2.资金的拨付有完整的审批程序和手续（1分）；3.符合项目预算批复或合同规定的用途（1分）；4.不存在截留、挤占、挪用、虚列支出等情况（1分）。如出现扣除全部分值。</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经核实每一笔项目资金明细账、原始凭证及相关附件，项目实际支出符合项目合同规定的用途，符合《中华人民共和国会计法》、《中华人民共和国预算法》和《事业单位会计制度》的规定；安泽县财政局根据安泽县石渠村乡村示范村改造项目情况安排省、县二级资金，安泽县财政局在收到山西省财政厅下拨的项目资金后拨付给安泽县和川镇人民政府，安泽县和川镇人民政府根据各建设单位上报的建设进度及资料，对其进行审核并结合合同约定进行款项的支付，资金的拨付有完整的审批程序和手续；不存在超标列支相关费用。综上，该指标满分4分，总得分4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资金支出明细及凭证</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组织实施</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管理制度健全性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相关财务制度、业务管理制度和监督检查机制是否健全，是否覆盖项目实施全过程各环节，是否包括政府采购规范、工程项目实施管理制度、安全生产制度、与进度及质量相关的要求、验收等方面内容，用以反映和考核项目财务制度、业务管理制度和监督检查机制对项目顺利实施的保障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健全</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行业标准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项目管理部门针对项目制定了完善、健全的管理制度，包括财务制度、业务管理制度、监督检查制度（5分）；管理制度不完善，不健全或较简略（3分）；没有制定相应的管理制度（0分）。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经考察核实，安泽县和川镇人民政府全面负责石渠村乡村振兴示范村建设项目工作，保障了石渠村示范村改造的正常进行。但未针对项目制定专项资金制度，仅仅有普通财务管理制度，对项目财政预算资金的申报、下达，拨付等缺乏详细统一的程序性指导和规范，不利于对项目资金进行管理和监督。综上，该指标满分5分，总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财务制度、业务管理制度、监督检查制度等</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60%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制度执行有效性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是否符合项目相关管理规定，项目建设相关手续是否完备，项目相关资料是否齐全并及时归档，项目实施的人员条件、场地设备、信息支撑等是否落实到位，用以反映和考核项目相关管理制度的有效执行情况。</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有效</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项目管理部门能够执行各项管理制度，履行各自职责，有相关记录可查（5分）；执行相关制度不严，可查记录不多（3分）；未按相关制度执行（0分）。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经考察核实，安泽县和川镇人民政府通过公开招投标，确定了施工单位和监理单位，各施工、监理单位按合同进行安全施工，各单位能够按照已制定的各项制度进行项目管理，项目实施过程中各项管理工作有序开展，项目资金按规使用，项目进行了公开招投标，政府采购支出手续齐全，人员按岗位职责有序开展工作，各项工作按程序执行，日常管理记录规范完整。综上，该指标满分5分，总得分5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各类制度、资产入账明细及凭证、现场核查</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rPr>
          <w:trHeight w:val="283" w:hRule="atLeast"/>
        </w:trPr>
        <w:tc>
          <w:tcPr>
            <w:tcW w:w="480"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产出</w:t>
            </w: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产出数量</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康养驿站主楼改造完成率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项目实施后实际康养驿站主楼改造面积与计划改造面积的比率，用以反映和考核项目产出数量目标的实现程度。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康养驿站主楼改造完成率=实际改造面积/计划改造面积，达到目标值得满分，每减少100㎡扣除20%。</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项目计划完成驿站主楼建筑面积766.38㎡的改造，将石渠村小学二层教学建筑改为驿站主楼，项目截止目前已完成驿站主楼改造，得2分。综上，该指标满分2分，总得分2分。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公共厕所改造完成率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项目实施后实际公厕改造面积和计划改造面积的比率，用以反映和考核项目产出数量目标的实现程度。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公共厕所改造完成率=实际改造面积/计划改造面积，达到目标值得满分，每减少1㎡扣除1%。</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项目计划完成驿站建筑面积65.36㎡公厕的改造，项目截止目前已完成驿站公厕改造，得2分。综上，该指标满分2分，总得分2分。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新建消防水池完成率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项目实施后，实际新建消防水池</w:t>
            </w:r>
            <w:r>
              <w:rPr>
                <w:rFonts w:hint="eastAsia" w:cs="宋体"/>
                <w:color w:val="000000"/>
                <w:sz w:val="21"/>
                <w:szCs w:val="21"/>
                <w:lang w:val="en-US" w:eastAsia="zh-CN"/>
              </w:rPr>
              <w:t>体积</w:t>
            </w:r>
            <w:r>
              <w:rPr>
                <w:rFonts w:hint="eastAsia" w:cs="宋体"/>
                <w:color w:val="000000"/>
                <w:sz w:val="21"/>
                <w:szCs w:val="21"/>
                <w:lang w:eastAsia="zh-CN"/>
              </w:rPr>
              <w:t>与计划新建</w:t>
            </w:r>
            <w:r>
              <w:rPr>
                <w:rFonts w:hint="eastAsia" w:cs="宋体"/>
                <w:color w:val="000000"/>
                <w:sz w:val="21"/>
                <w:szCs w:val="21"/>
                <w:lang w:val="en-US" w:eastAsia="zh-CN"/>
              </w:rPr>
              <w:t>体积</w:t>
            </w:r>
            <w:r>
              <w:rPr>
                <w:rFonts w:hint="eastAsia" w:cs="宋体"/>
                <w:color w:val="000000"/>
                <w:sz w:val="21"/>
                <w:szCs w:val="21"/>
                <w:lang w:eastAsia="zh-CN"/>
              </w:rPr>
              <w:t>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新建消防水池完成率=实际新建消防水池</w:t>
            </w:r>
            <w:r>
              <w:rPr>
                <w:rFonts w:hint="eastAsia" w:cs="宋体"/>
                <w:color w:val="000000"/>
                <w:sz w:val="21"/>
                <w:szCs w:val="21"/>
                <w:lang w:val="en-US" w:eastAsia="zh-CN"/>
              </w:rPr>
              <w:t>体积</w:t>
            </w:r>
            <w:r>
              <w:rPr>
                <w:rFonts w:hint="eastAsia" w:cs="宋体"/>
                <w:color w:val="000000"/>
                <w:sz w:val="21"/>
                <w:szCs w:val="21"/>
                <w:lang w:eastAsia="zh-CN"/>
              </w:rPr>
              <w:t>/计划新建消防水池</w:t>
            </w:r>
            <w:r>
              <w:rPr>
                <w:rFonts w:hint="eastAsia" w:cs="宋体"/>
                <w:color w:val="000000"/>
                <w:sz w:val="21"/>
                <w:szCs w:val="21"/>
                <w:lang w:val="en-US" w:eastAsia="zh-CN"/>
              </w:rPr>
              <w:t>体积</w:t>
            </w:r>
            <w:r>
              <w:rPr>
                <w:rFonts w:hint="eastAsia" w:cs="宋体"/>
                <w:color w:val="000000"/>
                <w:sz w:val="21"/>
                <w:szCs w:val="21"/>
                <w:lang w:eastAsia="zh-CN"/>
              </w:rPr>
              <w:t>，达到目标值得满分，每减少1</w:t>
            </w:r>
            <w:r>
              <w:rPr>
                <w:rFonts w:hint="eastAsia" w:cs="宋体"/>
                <w:color w:val="000000"/>
                <w:sz w:val="21"/>
                <w:szCs w:val="21"/>
                <w:lang w:val="en-US" w:eastAsia="zh-CN"/>
              </w:rPr>
              <w:t>m³</w:t>
            </w:r>
            <w:bookmarkStart w:id="194" w:name="_GoBack"/>
            <w:bookmarkEnd w:id="194"/>
            <w:r>
              <w:rPr>
                <w:rFonts w:hint="eastAsia" w:cs="宋体"/>
                <w:color w:val="000000"/>
                <w:sz w:val="21"/>
                <w:szCs w:val="21"/>
                <w:lang w:eastAsia="zh-CN"/>
              </w:rPr>
              <w:t>扣除1%。</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项目计划新建建筑面积39.42㎡，有效容积108m</w:t>
            </w:r>
            <w:r>
              <w:rPr>
                <w:rFonts w:ascii="Calibri" w:hAnsi="Calibri" w:cs="Calibri"/>
                <w:color w:val="000000"/>
                <w:sz w:val="21"/>
                <w:szCs w:val="21"/>
                <w:lang w:eastAsia="zh-CN"/>
              </w:rPr>
              <w:t>³</w:t>
            </w:r>
            <w:r>
              <w:rPr>
                <w:rFonts w:hint="eastAsia" w:cs="仿宋"/>
                <w:color w:val="000000"/>
                <w:sz w:val="21"/>
                <w:szCs w:val="21"/>
                <w:lang w:eastAsia="zh-CN"/>
              </w:rPr>
              <w:t>的消防水池的改造，项目截止目前已完成消防水池新建，得</w:t>
            </w:r>
            <w:r>
              <w:rPr>
                <w:rFonts w:hint="eastAsia" w:cs="宋体"/>
                <w:color w:val="000000"/>
                <w:sz w:val="21"/>
                <w:szCs w:val="21"/>
                <w:lang w:eastAsia="zh-CN"/>
              </w:rPr>
              <w:t>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民宿改造完成率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项目实施后实际改造民宿数量与计划改造民宿数量的比率，用以反映和考核项目产出数量目标的实现程度。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民宿改造完成率=实际民宿改造数量/计划改造数量，达到目标值得满分，每减少1户扣除25%。</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项目计划完成4个民宿建筑面积共1226.01㎡的改造，截止目前4个民宿改造已全部完成，得2分。综上，该指标满分2分，总得分2分。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生态停车场完成率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项目实施后实际生态停车场改造面积和计划改造面积的比率，用以反映和考核项目产出数量目标的实现程度。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生态停车场完成率=实际改造面积/计划改造面积，达到目标值得满分，每减少1㎡扣除1%。</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项目计划完成建筑面积747.05㎡的生态停车场改造，截止目前改造已全部完成，得2分。综上，该指标满分2分，总得分2分。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绿化景观改造完成率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项目实施后实际绿化景观改造数量和计划改造数量的比率，用以反映和考核项目产出数量目标的实现程度。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绿化景观改造完成率=实际改造面积/计划改造面积，达到目标值得满分，每减少1㎡扣除1%。</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项目计划载种休闲景观树木，修建休闲景观节点，截止目前改造已全部完成，得2分。综上，该指标满分2分，总得分2分。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新建民宿完成率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项目实施后，实际新建民宿数量和计划新建民宿数量的比率，用以反映和考核项目产出数量目标的实现程度。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新建民宿完成率=实际新建民宿数量/计划新建数量，达到目标值得满分，若无新建，则0分。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项目计划新建1个民宿院落，截止目前已全部新建完成，得2分。综上，该指标满分2分，总得分2分。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给水污水管网改造完成率</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项目实施后，实际给水污水管网改造数量和计划改造数量的比率，用以反映和考核项目产出数量目标的实现程度。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给水污水管网改造完成率=实际改造数量/计划改造数量，达到目标值得满分，每减少1米扣除5%。</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项目计划改造全村给水污水管网，截止目前已全部改造完成，得2分。综上，该指标满分2分，总得分2分。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初步设计、施工图设计、工程结算资料及相关佐证资料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2</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tcBorders>
              <w:top w:val="nil"/>
              <w:left w:val="single" w:color="auto" w:sz="8" w:space="0"/>
              <w:bottom w:val="nil"/>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产出质量</w:t>
            </w:r>
          </w:p>
        </w:tc>
        <w:tc>
          <w:tcPr>
            <w:tcW w:w="593" w:type="dxa"/>
            <w:tcBorders>
              <w:top w:val="nil"/>
              <w:left w:val="nil"/>
              <w:bottom w:val="nil"/>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工程质量达标率</w:t>
            </w:r>
          </w:p>
        </w:tc>
        <w:tc>
          <w:tcPr>
            <w:tcW w:w="1740" w:type="dxa"/>
            <w:tcBorders>
              <w:top w:val="nil"/>
              <w:left w:val="nil"/>
              <w:bottom w:val="nil"/>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项目实施后工程符合国家质量标准验收合格，用以反映和考核项目产出质量目标的实现程度。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工程按建设工程施工合同约定，工程质量符合合格标准，质量达标率=100%（5分）；不符合（0分）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根据项目资金完成进度申请表、现场考察、访谈，项目已按照施工设计规范完成示范村建设，符合设计规范要求，工程质量达标率为100%。综上，该指标满分5分，得分5分。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相关考核及佐证材料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产出时效</w:t>
            </w:r>
          </w:p>
        </w:tc>
        <w:tc>
          <w:tcPr>
            <w:tcW w:w="593" w:type="dxa"/>
            <w:tcBorders>
              <w:top w:val="single" w:color="auto" w:sz="8" w:space="0"/>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完工及时率</w:t>
            </w:r>
          </w:p>
        </w:tc>
        <w:tc>
          <w:tcPr>
            <w:tcW w:w="1740" w:type="dxa"/>
            <w:tcBorders>
              <w:top w:val="single" w:color="auto" w:sz="8" w:space="0"/>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项目实际完成时间与计划完成时间的比较，用以反映和考核项目产出时效目标的实现程度。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及时</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按计划完成任务（5分）；合理延期（1-4分）；不合理超期（0分）。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根据项目工程初步设计及概算的批复，计划工期90天，实际根据竣工报告，项目实际开工时间为2022年11月2日，竣工时间为2023年1月20日，工期为79天。综上，该指标满分5分，得分5分。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相关考核及佐证材料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tcBorders>
              <w:top w:val="nil"/>
              <w:left w:val="single" w:color="auto" w:sz="8" w:space="0"/>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产出成本</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费用节余率</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完成项目计划工作目标实际节约费用与批复预算的比率，用以反映和考核项目的费用节约程度。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节余</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费用节余率=（实际节约费用／批复预算）×100%。实际节约费用：任务结束后剩余未使用资金。批复预算：财政安排的全部资金，一般以项目预算为参考。</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截至目前，根据各项目财务资料统计，项目预算为1250万元，目前实际拨付1211.25万元，结余38.75万元未支付，但因目前项目正处于财务决算环节，最总结余数由财务决算后确定，得4分。综上，该指标满分4分，得分4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资金支出明细及凭证</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4</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效益</w:t>
            </w:r>
          </w:p>
        </w:tc>
        <w:tc>
          <w:tcPr>
            <w:tcW w:w="54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经济效益</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带动经济的快速发展情况</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项目实施后，区域经济发展情况，用以反映和考核所产生的经济效益。</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带动</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历史标准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项目实施后，推动和川镇旅游业发展，带动区域经济发展（3分）；小幅度带动（1-2分）；没有带动（0分）。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通过考察核实和对项目区村民的问卷、访谈，项目实施后，道路通畅，环境优美，促进石渠村旅游业发展，带动区域经济发展。综上，该指标满分3分，得分3分。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相关统计数据及佐证材料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生态效益</w:t>
            </w:r>
          </w:p>
        </w:tc>
        <w:tc>
          <w:tcPr>
            <w:tcW w:w="593"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区域绿化率增加情况</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项目实施后，石渠村绿化增加情况，用以反映和考核所产生的生态效益。</w:t>
            </w:r>
          </w:p>
        </w:tc>
        <w:tc>
          <w:tcPr>
            <w:tcW w:w="57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增加</w:t>
            </w:r>
          </w:p>
        </w:tc>
        <w:tc>
          <w:tcPr>
            <w:tcW w:w="53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历史标准</w:t>
            </w:r>
          </w:p>
        </w:tc>
        <w:tc>
          <w:tcPr>
            <w:tcW w:w="531"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项目实施后，石渠村内绿化率较以前相比有很大程度增加（3分）；小幅度增加（1-2分）；没有增加（0分）。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通过考察核实和对项目区村民的问卷、访谈，项目实施后，载种景观树木、修建景观休闲点，增大石渠村绿化面积。综上，该指标满分3分，得分3分。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相关统计数据及佐证材料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改善乡村生态环境情况</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项目实施后，石渠村生态环境得到改善，用以反映和考核所产生的生态效益。</w:t>
            </w:r>
          </w:p>
        </w:tc>
        <w:tc>
          <w:tcPr>
            <w:tcW w:w="57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改善</w:t>
            </w:r>
          </w:p>
        </w:tc>
        <w:tc>
          <w:tcPr>
            <w:tcW w:w="53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历史标准</w:t>
            </w:r>
          </w:p>
        </w:tc>
        <w:tc>
          <w:tcPr>
            <w:tcW w:w="531"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项目实施后，石渠村村内及周边的环境有了很大改善（3分）；小幅度改善（1-2分）；没有改善（0分）。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通过考察核实和对项目区村民的问卷、访谈，项目实施后，绿化率大大增加，改善石渠村生态环境。综上，该指标满分3分，得分3分。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相关统计数据及佐证材料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restart"/>
            <w:tcBorders>
              <w:top w:val="nil"/>
              <w:left w:val="single" w:color="auto" w:sz="8" w:space="0"/>
              <w:bottom w:val="single" w:color="000000"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社会效益</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D31群众生活水平提升情况</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项目实施后人民的生活水平是否提高，用以反映和考核所产生的社会效益。</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提升</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历史标准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项目实施后，可以给村民提供更多可供休闲娱乐的场所，群众生活水平提升（3分）；小幅度提升（1-2分）；没有提升（0分）。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通过考察核实和对项目区村民的问卷、访谈，项目的实施后，促进石渠村产业发展，改善区域生活环境，提升群众生活水平条件。综上，该指标满分3分，得分3分。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相关统计数据及佐证材料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D32乡村面貌改善情况</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项目实施后石渠村的整体环境、乡村面貌是否得到改善，用以反映和考核所产生的社会效益。</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改善</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历史标准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项目实施后石渠村的整体环境较之前有很大提升，乡村面貌有了明显改善（3分）；小幅度改善（2分）；没有改善（0分）。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通过考察核实和对项目区村民的问卷、访谈，项目实施后，生态环境、经济水平得到改善，石渠村整体环境得到大幅提升，进而促进乡村面貌改善。综上，该指标满分3分，得分3分。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相关统计数据及佐证材料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可持续影响</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长效机制建设完备性</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项目实施后，改造后的驿站、民宿、停车场及购买的设备等资产后续管理和使用制度有效性所产生的社会效益。</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健全</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历史标准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5</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项目建成后有单位进行管理（5分）；设立了管理维修制度（4分）；有经费支撑（1分）。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通过考察核实和对项目区村民的问卷、访谈，项目建成后，建成的驿站和民宿由第三方承包并进行后续管理养护，得2分；但没有专项管护维修制度；后续有资金支撑，得1分。综上，该指标满分5分，得分3分。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相关统计数据及佐证材料</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3</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60%</w:t>
            </w:r>
          </w:p>
        </w:tc>
      </w:tr>
      <w:tr>
        <w:tblPrEx>
          <w:tblCellMar>
            <w:top w:w="0" w:type="dxa"/>
            <w:left w:w="11" w:type="dxa"/>
            <w:bottom w:w="0" w:type="dxa"/>
            <w:right w:w="11" w:type="dxa"/>
          </w:tblCellMar>
        </w:tblPrEx>
        <w:trPr>
          <w:trHeight w:val="283" w:hRule="atLeast"/>
        </w:trPr>
        <w:tc>
          <w:tcPr>
            <w:tcW w:w="480" w:type="dxa"/>
            <w:vMerge w:val="continue"/>
            <w:tcBorders>
              <w:top w:val="nil"/>
              <w:left w:val="single" w:color="auto" w:sz="8" w:space="0"/>
              <w:bottom w:val="single" w:color="000000" w:sz="8" w:space="0"/>
              <w:right w:val="single" w:color="auto" w:sz="8" w:space="0"/>
            </w:tcBorders>
            <w:vAlign w:val="center"/>
          </w:tcPr>
          <w:p>
            <w:pPr>
              <w:widowControl w:val="0"/>
              <w:spacing w:line="240" w:lineRule="auto"/>
              <w:ind w:firstLine="0" w:firstLineChars="0"/>
              <w:jc w:val="left"/>
              <w:rPr>
                <w:rFonts w:cs="宋体"/>
                <w:color w:val="000000"/>
                <w:sz w:val="21"/>
                <w:szCs w:val="21"/>
                <w:lang w:eastAsia="zh-CN"/>
              </w:rPr>
            </w:pPr>
          </w:p>
        </w:tc>
        <w:tc>
          <w:tcPr>
            <w:tcW w:w="54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满意度</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项目区村民满意度</w:t>
            </w:r>
          </w:p>
        </w:tc>
        <w:tc>
          <w:tcPr>
            <w:tcW w:w="1740" w:type="dxa"/>
            <w:tcBorders>
              <w:top w:val="nil"/>
              <w:left w:val="nil"/>
              <w:bottom w:val="single" w:color="auto" w:sz="8" w:space="0"/>
              <w:right w:val="single" w:color="auto" w:sz="8" w:space="0"/>
            </w:tcBorders>
            <w:shd w:val="clear" w:color="000000" w:fill="FFFFFF"/>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项目区村民对项目实施效果的满意程度。</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≥95%</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计划标准</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依据调查问卷得分，非常满意度、比较满意、基本满意比率按照满意程度分别赋权100%、80%、60%，计算综合满意度。按有效问卷数计算评分比例。满意度≧95%，得满分，满意度每降低1%，扣除5%，低于60%不得分。</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依据调查问卷统计，项目区村民满意度为100%，满意度标杆值为95%。综上，该指标满分为10分，实际得分10分。</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问卷调查</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r>
      <w:tr>
        <w:trPr>
          <w:trHeight w:val="283" w:hRule="atLeast"/>
        </w:trPr>
        <w:tc>
          <w:tcPr>
            <w:tcW w:w="480" w:type="dxa"/>
            <w:tcBorders>
              <w:top w:val="nil"/>
              <w:left w:val="single" w:color="auto" w:sz="8" w:space="0"/>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权重合计</w:t>
            </w:r>
          </w:p>
        </w:tc>
        <w:tc>
          <w:tcPr>
            <w:tcW w:w="54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　</w:t>
            </w:r>
          </w:p>
        </w:tc>
        <w:tc>
          <w:tcPr>
            <w:tcW w:w="59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　</w:t>
            </w:r>
          </w:p>
        </w:tc>
        <w:tc>
          <w:tcPr>
            <w:tcW w:w="174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　</w:t>
            </w:r>
          </w:p>
        </w:tc>
        <w:tc>
          <w:tcPr>
            <w:tcW w:w="57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　</w:t>
            </w:r>
          </w:p>
        </w:tc>
        <w:tc>
          <w:tcPr>
            <w:tcW w:w="530"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　</w:t>
            </w:r>
          </w:p>
        </w:tc>
        <w:tc>
          <w:tcPr>
            <w:tcW w:w="531" w:type="dxa"/>
            <w:tcBorders>
              <w:top w:val="nil"/>
              <w:left w:val="nil"/>
              <w:bottom w:val="single" w:color="auto" w:sz="8" w:space="0"/>
              <w:right w:val="single" w:color="auto" w:sz="8" w:space="0"/>
            </w:tcBorders>
            <w:shd w:val="clear" w:color="auto" w:fill="auto"/>
            <w:noWrap/>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100</w:t>
            </w:r>
          </w:p>
        </w:tc>
        <w:tc>
          <w:tcPr>
            <w:tcW w:w="231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left"/>
              <w:rPr>
                <w:rFonts w:cs="宋体"/>
                <w:color w:val="000000"/>
                <w:sz w:val="21"/>
                <w:szCs w:val="21"/>
                <w:lang w:eastAsia="zh-CN"/>
              </w:rPr>
            </w:pPr>
            <w:r>
              <w:rPr>
                <w:rFonts w:hint="eastAsia" w:cs="宋体"/>
                <w:color w:val="000000"/>
                <w:sz w:val="21"/>
                <w:szCs w:val="21"/>
                <w:lang w:eastAsia="zh-CN"/>
              </w:rPr>
              <w:t>　</w:t>
            </w:r>
          </w:p>
        </w:tc>
        <w:tc>
          <w:tcPr>
            <w:tcW w:w="4303"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rPr>
                <w:rFonts w:cs="宋体"/>
                <w:color w:val="000000"/>
                <w:sz w:val="21"/>
                <w:szCs w:val="21"/>
                <w:lang w:eastAsia="zh-CN"/>
              </w:rPr>
            </w:pPr>
            <w:r>
              <w:rPr>
                <w:rFonts w:hint="eastAsia" w:cs="宋体"/>
                <w:color w:val="000000"/>
                <w:sz w:val="21"/>
                <w:szCs w:val="21"/>
                <w:lang w:eastAsia="zh-CN"/>
              </w:rPr>
              <w:t>　</w:t>
            </w:r>
          </w:p>
        </w:tc>
        <w:tc>
          <w:tcPr>
            <w:tcW w:w="1017"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　</w:t>
            </w:r>
          </w:p>
        </w:tc>
        <w:tc>
          <w:tcPr>
            <w:tcW w:w="43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9</w:t>
            </w:r>
            <w:r>
              <w:rPr>
                <w:rFonts w:cs="宋体"/>
                <w:color w:val="000000"/>
                <w:sz w:val="21"/>
                <w:szCs w:val="21"/>
                <w:lang w:eastAsia="zh-CN"/>
              </w:rPr>
              <w:t>4</w:t>
            </w:r>
          </w:p>
        </w:tc>
        <w:tc>
          <w:tcPr>
            <w:tcW w:w="749" w:type="dxa"/>
            <w:tcBorders>
              <w:top w:val="nil"/>
              <w:left w:val="nil"/>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cs="宋体"/>
                <w:color w:val="000000"/>
                <w:sz w:val="21"/>
                <w:szCs w:val="21"/>
                <w:lang w:eastAsia="zh-CN"/>
              </w:rPr>
            </w:pPr>
            <w:r>
              <w:rPr>
                <w:rFonts w:hint="eastAsia" w:cs="宋体"/>
                <w:color w:val="000000"/>
                <w:sz w:val="21"/>
                <w:szCs w:val="21"/>
                <w:lang w:eastAsia="zh-CN"/>
              </w:rPr>
              <w:t>9</w:t>
            </w:r>
            <w:r>
              <w:rPr>
                <w:rFonts w:cs="宋体"/>
                <w:color w:val="000000"/>
                <w:sz w:val="21"/>
                <w:szCs w:val="21"/>
                <w:lang w:eastAsia="zh-CN"/>
              </w:rPr>
              <w:t>4</w:t>
            </w:r>
            <w:r>
              <w:rPr>
                <w:rFonts w:hint="eastAsia" w:cs="宋体"/>
                <w:color w:val="000000"/>
                <w:sz w:val="21"/>
                <w:szCs w:val="21"/>
                <w:lang w:eastAsia="zh-CN"/>
              </w:rPr>
              <w:t>%</w:t>
            </w:r>
          </w:p>
        </w:tc>
      </w:tr>
    </w:tbl>
    <w:p>
      <w:pPr>
        <w:pStyle w:val="2"/>
        <w:widowControl w:val="0"/>
        <w:ind w:left="640" w:firstLine="640"/>
        <w:rPr>
          <w:lang w:eastAsia="zh-CN"/>
        </w:rPr>
      </w:pPr>
    </w:p>
    <w:p>
      <w:pPr>
        <w:pStyle w:val="58"/>
        <w:widowControl w:val="0"/>
        <w:rPr>
          <w:rFonts w:ascii="黑体" w:hAnsi="黑体" w:eastAsia="黑体"/>
          <w:sz w:val="32"/>
          <w:szCs w:val="32"/>
        </w:rPr>
        <w:sectPr>
          <w:pgSz w:w="16838" w:h="11906" w:orient="landscape"/>
          <w:pgMar w:top="1797" w:right="1440" w:bottom="1797" w:left="1440" w:header="720" w:footer="720" w:gutter="0"/>
          <w:pgNumType w:fmt="numberInDash"/>
          <w:cols w:space="720" w:num="1"/>
          <w:docGrid w:type="lines" w:linePitch="312" w:charSpace="0"/>
        </w:sectPr>
      </w:pPr>
      <w:bookmarkStart w:id="188" w:name="_Toc91979661"/>
      <w:bookmarkStart w:id="189" w:name="_Toc90472427"/>
    </w:p>
    <w:p>
      <w:pPr>
        <w:pStyle w:val="58"/>
        <w:widowControl w:val="0"/>
        <w:rPr>
          <w:rFonts w:ascii="黑体" w:hAnsi="黑体" w:eastAsia="黑体"/>
          <w:sz w:val="32"/>
          <w:szCs w:val="32"/>
        </w:rPr>
      </w:pPr>
      <w:bookmarkStart w:id="190" w:name="_Toc96054870"/>
      <w:bookmarkStart w:id="191" w:name="_Toc97086079"/>
      <w:r>
        <w:rPr>
          <w:rFonts w:ascii="黑体" w:hAnsi="黑体" w:eastAsia="黑体"/>
          <w:sz w:val="32"/>
          <w:szCs w:val="32"/>
        </w:rPr>
        <w:t>附件</w:t>
      </w:r>
      <w:r>
        <w:rPr>
          <w:rFonts w:hint="eastAsia" w:ascii="黑体" w:hAnsi="黑体" w:eastAsia="黑体"/>
          <w:sz w:val="32"/>
          <w:szCs w:val="32"/>
        </w:rPr>
        <w:t>4</w:t>
      </w:r>
      <w:r>
        <w:rPr>
          <w:rFonts w:ascii="黑体" w:hAnsi="黑体" w:eastAsia="黑体"/>
          <w:sz w:val="32"/>
          <w:szCs w:val="32"/>
        </w:rPr>
        <w:t xml:space="preserve"> 满意度调查分析报告</w:t>
      </w:r>
      <w:bookmarkEnd w:id="188"/>
      <w:bookmarkEnd w:id="189"/>
      <w:bookmarkEnd w:id="190"/>
      <w:bookmarkEnd w:id="191"/>
    </w:p>
    <w:p>
      <w:pPr>
        <w:pStyle w:val="58"/>
        <w:widowControl w:val="0"/>
        <w:jc w:val="center"/>
        <w:outlineLvl w:val="9"/>
        <w:rPr>
          <w:rFonts w:ascii="仿宋" w:hAnsi="仿宋" w:eastAsia="仿宋" w:cs="仿宋"/>
          <w:b/>
          <w:bCs/>
          <w:color w:val="000000"/>
          <w:kern w:val="2"/>
          <w:sz w:val="36"/>
          <w:szCs w:val="36"/>
        </w:rPr>
      </w:pPr>
    </w:p>
    <w:p>
      <w:pPr>
        <w:pStyle w:val="58"/>
        <w:widowControl w:val="0"/>
        <w:jc w:val="center"/>
        <w:outlineLvl w:val="9"/>
        <w:rPr>
          <w:rFonts w:ascii="仿宋" w:hAnsi="仿宋" w:eastAsia="仿宋" w:cs="仿宋"/>
          <w:b/>
          <w:bCs/>
          <w:color w:val="000000"/>
          <w:kern w:val="2"/>
          <w:sz w:val="36"/>
          <w:szCs w:val="36"/>
        </w:rPr>
      </w:pPr>
      <w:r>
        <w:rPr>
          <w:rFonts w:hint="eastAsia" w:ascii="仿宋" w:hAnsi="仿宋" w:eastAsia="仿宋" w:cs="仿宋"/>
          <w:b/>
          <w:bCs/>
          <w:color w:val="000000"/>
          <w:kern w:val="2"/>
          <w:sz w:val="36"/>
          <w:szCs w:val="36"/>
        </w:rPr>
        <w:t>石渠村乡村振兴示范村建设项目</w:t>
      </w:r>
    </w:p>
    <w:p>
      <w:pPr>
        <w:pStyle w:val="58"/>
        <w:widowControl w:val="0"/>
        <w:jc w:val="center"/>
        <w:outlineLvl w:val="9"/>
        <w:rPr>
          <w:rFonts w:ascii="仿宋" w:hAnsi="仿宋" w:eastAsia="仿宋" w:cs="仿宋"/>
          <w:b/>
          <w:bCs/>
          <w:sz w:val="36"/>
          <w:szCs w:val="36"/>
        </w:rPr>
      </w:pPr>
      <w:r>
        <w:rPr>
          <w:rFonts w:hint="eastAsia" w:ascii="仿宋" w:hAnsi="仿宋" w:eastAsia="仿宋" w:cs="仿宋"/>
          <w:b/>
          <w:bCs/>
          <w:color w:val="000000"/>
          <w:kern w:val="2"/>
          <w:sz w:val="36"/>
          <w:szCs w:val="36"/>
        </w:rPr>
        <w:t>满意度调查分析报告</w:t>
      </w:r>
    </w:p>
    <w:p>
      <w:pPr>
        <w:widowControl w:val="0"/>
        <w:spacing w:line="480" w:lineRule="exact"/>
        <w:ind w:firstLine="640"/>
        <w:rPr>
          <w:rFonts w:cs="仿宋_GB2312"/>
          <w:szCs w:val="32"/>
          <w:lang w:eastAsia="zh-CN"/>
        </w:rPr>
      </w:pPr>
      <w:bookmarkStart w:id="192" w:name="_Toc90472428"/>
      <w:bookmarkStart w:id="193" w:name="_Toc91979662"/>
    </w:p>
    <w:p>
      <w:pPr>
        <w:widowControl w:val="0"/>
        <w:ind w:firstLine="640"/>
        <w:rPr>
          <w:rFonts w:cs="仿宋_GB2312"/>
          <w:szCs w:val="32"/>
          <w:lang w:eastAsia="zh-CN"/>
        </w:rPr>
      </w:pPr>
      <w:r>
        <w:rPr>
          <w:rFonts w:hint="eastAsia" w:cs="仿宋_GB2312"/>
          <w:szCs w:val="32"/>
          <w:lang w:eastAsia="zh-CN"/>
        </w:rPr>
        <w:t>石渠村乡村振兴示范村建设项目，政府给予了极大的资金支持与重视。相关人员满意度是衡量石渠村乡村振兴示范村建设项目绩效的一个重要指标，为此，评价组成员按调查对象设计编写了项目区村民满意度调查问卷，并于</w:t>
      </w:r>
      <w:r>
        <w:rPr>
          <w:rFonts w:cs="仿宋_GB2312"/>
          <w:szCs w:val="32"/>
          <w:lang w:eastAsia="zh-CN"/>
        </w:rPr>
        <w:t>11</w:t>
      </w:r>
      <w:r>
        <w:rPr>
          <w:rFonts w:hint="eastAsia" w:cs="仿宋_GB2312"/>
          <w:szCs w:val="32"/>
          <w:lang w:eastAsia="zh-CN"/>
        </w:rPr>
        <w:t>月27日至</w:t>
      </w:r>
      <w:r>
        <w:rPr>
          <w:rFonts w:cs="仿宋_GB2312"/>
          <w:szCs w:val="32"/>
          <w:lang w:eastAsia="zh-CN"/>
        </w:rPr>
        <w:t>11</w:t>
      </w:r>
      <w:r>
        <w:rPr>
          <w:rFonts w:hint="eastAsia" w:cs="仿宋_GB2312"/>
          <w:szCs w:val="32"/>
          <w:lang w:eastAsia="zh-CN"/>
        </w:rPr>
        <w:t>月</w:t>
      </w:r>
      <w:r>
        <w:rPr>
          <w:rFonts w:cs="仿宋_GB2312"/>
          <w:szCs w:val="32"/>
          <w:lang w:eastAsia="zh-CN"/>
        </w:rPr>
        <w:t>30</w:t>
      </w:r>
      <w:r>
        <w:rPr>
          <w:rFonts w:hint="eastAsia" w:cs="仿宋_GB2312"/>
          <w:szCs w:val="32"/>
          <w:lang w:eastAsia="zh-CN"/>
        </w:rPr>
        <w:t>日进行了问卷发放，对调查对象填写过程中的疑问进行了解释，完成了问卷收集。依据问卷调查结果满意度分析如下：</w:t>
      </w:r>
    </w:p>
    <w:p>
      <w:pPr>
        <w:widowControl w:val="0"/>
        <w:ind w:firstLine="640"/>
        <w:rPr>
          <w:rFonts w:ascii="黑体" w:hAnsi="黑体" w:eastAsia="黑体" w:cs="仿宋_GB2312"/>
          <w:bCs/>
          <w:szCs w:val="32"/>
          <w:lang w:eastAsia="zh-CN"/>
        </w:rPr>
      </w:pPr>
      <w:r>
        <w:rPr>
          <w:rFonts w:hint="eastAsia" w:ascii="黑体" w:hAnsi="黑体" w:eastAsia="黑体" w:cs="仿宋_GB2312"/>
          <w:bCs/>
          <w:szCs w:val="32"/>
          <w:lang w:eastAsia="zh-CN"/>
        </w:rPr>
        <w:t>一、数据结果统计</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（一）调查情况总体概述</w:t>
      </w:r>
    </w:p>
    <w:p>
      <w:pPr>
        <w:widowControl w:val="0"/>
        <w:ind w:firstLine="640"/>
        <w:rPr>
          <w:rFonts w:cs="仿宋_GB2312"/>
          <w:szCs w:val="32"/>
          <w:lang w:eastAsia="zh-CN"/>
        </w:rPr>
      </w:pPr>
      <w:r>
        <w:rPr>
          <w:rFonts w:hint="eastAsia" w:cs="仿宋_GB2312"/>
          <w:szCs w:val="32"/>
          <w:lang w:eastAsia="zh-CN"/>
        </w:rPr>
        <w:t>问卷由项目区村民填写，共收集</w:t>
      </w:r>
      <w:r>
        <w:rPr>
          <w:rFonts w:cs="仿宋_GB2312"/>
          <w:szCs w:val="32"/>
          <w:lang w:eastAsia="zh-CN"/>
        </w:rPr>
        <w:t>100</w:t>
      </w:r>
      <w:r>
        <w:rPr>
          <w:rFonts w:hint="eastAsia" w:cs="仿宋_GB2312"/>
          <w:szCs w:val="32"/>
          <w:lang w:eastAsia="zh-CN"/>
        </w:rPr>
        <w:t>份，均为有效问卷。调查问卷具体发放及回收情况见表1。</w:t>
      </w:r>
    </w:p>
    <w:p>
      <w:pPr>
        <w:widowControl w:val="0"/>
        <w:ind w:firstLine="0" w:firstLineChars="0"/>
        <w:jc w:val="center"/>
        <w:rPr>
          <w:rFonts w:ascii="黑体" w:hAnsi="黑体" w:eastAsia="黑体" w:cs="仿宋_GB2312"/>
          <w:sz w:val="24"/>
          <w:szCs w:val="24"/>
          <w:lang w:eastAsia="zh-CN"/>
        </w:rPr>
      </w:pPr>
      <w:r>
        <w:rPr>
          <w:rFonts w:hint="eastAsia" w:ascii="黑体" w:hAnsi="黑体" w:eastAsia="黑体"/>
          <w:sz w:val="24"/>
          <w:szCs w:val="24"/>
          <w:lang w:eastAsia="zh-CN"/>
        </w:rPr>
        <w:t xml:space="preserve">表1 </w:t>
      </w:r>
      <w:r>
        <w:rPr>
          <w:rFonts w:hint="eastAsia" w:ascii="黑体" w:hAnsi="黑体" w:eastAsia="黑体" w:cs="仿宋_GB2312"/>
          <w:sz w:val="24"/>
          <w:szCs w:val="24"/>
          <w:lang w:eastAsia="zh-CN"/>
        </w:rPr>
        <w:t>调查问卷发放回收统计（单位：份）</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00" w:type="pct"/>
            <w:vAlign w:val="center"/>
          </w:tcPr>
          <w:p>
            <w:pPr>
              <w:widowControl w:val="0"/>
              <w:spacing w:line="240" w:lineRule="auto"/>
              <w:ind w:firstLine="0" w:firstLineChars="0"/>
              <w:jc w:val="center"/>
              <w:rPr>
                <w:rFonts w:cs="仿宋_GB2312"/>
                <w:kern w:val="2"/>
                <w:sz w:val="21"/>
                <w:szCs w:val="21"/>
              </w:rPr>
            </w:pPr>
            <w:r>
              <w:rPr>
                <w:rFonts w:hint="eastAsia" w:cs="仿宋_GB2312"/>
                <w:kern w:val="2"/>
                <w:sz w:val="21"/>
                <w:szCs w:val="21"/>
                <w:lang w:eastAsia="zh-CN"/>
              </w:rPr>
              <w:t>问卷</w:t>
            </w:r>
            <w:r>
              <w:rPr>
                <w:rFonts w:hint="eastAsia" w:cs="仿宋_GB2312"/>
                <w:kern w:val="2"/>
                <w:sz w:val="21"/>
                <w:szCs w:val="21"/>
              </w:rPr>
              <w:t>类型</w:t>
            </w:r>
          </w:p>
        </w:tc>
        <w:tc>
          <w:tcPr>
            <w:tcW w:w="1000" w:type="pct"/>
            <w:vAlign w:val="center"/>
          </w:tcPr>
          <w:p>
            <w:pPr>
              <w:widowControl w:val="0"/>
              <w:spacing w:line="240" w:lineRule="auto"/>
              <w:ind w:firstLine="0" w:firstLineChars="0"/>
              <w:jc w:val="center"/>
              <w:rPr>
                <w:rFonts w:cs="仿宋_GB2312"/>
                <w:kern w:val="2"/>
                <w:sz w:val="21"/>
                <w:szCs w:val="21"/>
              </w:rPr>
            </w:pPr>
            <w:r>
              <w:rPr>
                <w:rFonts w:hint="eastAsia" w:cs="仿宋_GB2312"/>
                <w:kern w:val="2"/>
                <w:sz w:val="21"/>
                <w:szCs w:val="21"/>
                <w:lang w:eastAsia="zh-CN"/>
              </w:rPr>
              <w:t>发放</w:t>
            </w:r>
            <w:r>
              <w:rPr>
                <w:rFonts w:hint="eastAsia" w:cs="仿宋_GB2312"/>
                <w:kern w:val="2"/>
                <w:sz w:val="21"/>
                <w:szCs w:val="21"/>
              </w:rPr>
              <w:t>数量</w:t>
            </w:r>
          </w:p>
        </w:tc>
        <w:tc>
          <w:tcPr>
            <w:tcW w:w="1000" w:type="pct"/>
            <w:vAlign w:val="center"/>
          </w:tcPr>
          <w:p>
            <w:pPr>
              <w:widowControl w:val="0"/>
              <w:spacing w:line="240" w:lineRule="auto"/>
              <w:ind w:firstLine="0" w:firstLineChars="0"/>
              <w:jc w:val="center"/>
              <w:rPr>
                <w:rFonts w:cs="仿宋_GB2312"/>
                <w:kern w:val="2"/>
                <w:sz w:val="21"/>
                <w:szCs w:val="21"/>
              </w:rPr>
            </w:pPr>
            <w:r>
              <w:rPr>
                <w:rFonts w:hint="eastAsia" w:cs="仿宋_GB2312"/>
                <w:kern w:val="2"/>
                <w:sz w:val="21"/>
                <w:szCs w:val="21"/>
              </w:rPr>
              <w:t>回收数量</w:t>
            </w:r>
          </w:p>
        </w:tc>
        <w:tc>
          <w:tcPr>
            <w:tcW w:w="1000" w:type="pct"/>
            <w:vAlign w:val="center"/>
          </w:tcPr>
          <w:p>
            <w:pPr>
              <w:widowControl w:val="0"/>
              <w:spacing w:line="240" w:lineRule="auto"/>
              <w:ind w:firstLine="0" w:firstLineChars="0"/>
              <w:jc w:val="center"/>
              <w:rPr>
                <w:rFonts w:cs="仿宋_GB2312"/>
                <w:kern w:val="2"/>
                <w:sz w:val="21"/>
                <w:szCs w:val="21"/>
              </w:rPr>
            </w:pPr>
            <w:r>
              <w:rPr>
                <w:rFonts w:hint="eastAsia" w:cs="仿宋_GB2312"/>
                <w:kern w:val="2"/>
                <w:sz w:val="21"/>
                <w:szCs w:val="21"/>
                <w:lang w:eastAsia="zh-CN"/>
              </w:rPr>
              <w:t>有效</w:t>
            </w:r>
            <w:r>
              <w:rPr>
                <w:rFonts w:hint="eastAsia" w:cs="仿宋_GB2312"/>
                <w:kern w:val="2"/>
                <w:sz w:val="21"/>
                <w:szCs w:val="21"/>
              </w:rPr>
              <w:t>数量</w:t>
            </w:r>
          </w:p>
        </w:tc>
        <w:tc>
          <w:tcPr>
            <w:tcW w:w="1000" w:type="pct"/>
            <w:vAlign w:val="center"/>
          </w:tcPr>
          <w:p>
            <w:pPr>
              <w:widowControl w:val="0"/>
              <w:spacing w:line="240" w:lineRule="auto"/>
              <w:ind w:firstLine="0" w:firstLineChars="0"/>
              <w:jc w:val="center"/>
              <w:rPr>
                <w:rFonts w:cs="仿宋_GB2312"/>
                <w:kern w:val="2"/>
                <w:sz w:val="21"/>
                <w:szCs w:val="21"/>
              </w:rPr>
            </w:pPr>
            <w:r>
              <w:rPr>
                <w:rFonts w:hint="eastAsia" w:cs="仿宋_GB2312"/>
                <w:kern w:val="2"/>
                <w:sz w:val="21"/>
                <w:szCs w:val="21"/>
              </w:rPr>
              <w:t>有效回收比例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00" w:type="pct"/>
            <w:vAlign w:val="center"/>
          </w:tcPr>
          <w:p>
            <w:pPr>
              <w:widowControl w:val="0"/>
              <w:spacing w:line="240" w:lineRule="auto"/>
              <w:ind w:firstLine="0" w:firstLineChars="0"/>
              <w:jc w:val="center"/>
              <w:rPr>
                <w:rFonts w:cs="仿宋_GB2312"/>
                <w:kern w:val="2"/>
                <w:sz w:val="21"/>
                <w:szCs w:val="21"/>
                <w:lang w:eastAsia="zh-CN"/>
              </w:rPr>
            </w:pPr>
            <w:r>
              <w:rPr>
                <w:rFonts w:hint="eastAsia" w:cs="仿宋_GB2312"/>
                <w:kern w:val="2"/>
                <w:sz w:val="21"/>
                <w:szCs w:val="21"/>
                <w:lang w:eastAsia="zh-CN"/>
              </w:rPr>
              <w:t>居民</w:t>
            </w:r>
          </w:p>
        </w:tc>
        <w:tc>
          <w:tcPr>
            <w:tcW w:w="1000" w:type="pct"/>
            <w:vAlign w:val="center"/>
          </w:tcPr>
          <w:p>
            <w:pPr>
              <w:widowControl w:val="0"/>
              <w:spacing w:line="240" w:lineRule="auto"/>
              <w:ind w:firstLine="0" w:firstLineChars="0"/>
              <w:jc w:val="center"/>
              <w:rPr>
                <w:rFonts w:cs="宋体"/>
                <w:color w:val="000000"/>
                <w:kern w:val="2"/>
                <w:sz w:val="21"/>
                <w:szCs w:val="21"/>
                <w:lang w:eastAsia="zh-CN"/>
              </w:rPr>
            </w:pPr>
            <w:r>
              <w:rPr>
                <w:color w:val="000000"/>
                <w:kern w:val="2"/>
                <w:sz w:val="21"/>
                <w:szCs w:val="21"/>
                <w:lang w:eastAsia="zh-CN"/>
              </w:rPr>
              <w:t>100</w:t>
            </w:r>
          </w:p>
        </w:tc>
        <w:tc>
          <w:tcPr>
            <w:tcW w:w="1000" w:type="pct"/>
            <w:vAlign w:val="center"/>
          </w:tcPr>
          <w:p>
            <w:pPr>
              <w:widowControl w:val="0"/>
              <w:spacing w:line="240" w:lineRule="auto"/>
              <w:ind w:firstLine="0" w:firstLineChars="0"/>
              <w:jc w:val="center"/>
              <w:rPr>
                <w:rFonts w:cs="宋体"/>
                <w:color w:val="000000"/>
                <w:kern w:val="2"/>
                <w:sz w:val="21"/>
                <w:szCs w:val="21"/>
                <w:lang w:eastAsia="zh-CN"/>
              </w:rPr>
            </w:pPr>
            <w:r>
              <w:rPr>
                <w:color w:val="000000"/>
                <w:kern w:val="2"/>
                <w:sz w:val="21"/>
                <w:szCs w:val="21"/>
                <w:lang w:eastAsia="zh-CN"/>
              </w:rPr>
              <w:t>100</w:t>
            </w:r>
          </w:p>
        </w:tc>
        <w:tc>
          <w:tcPr>
            <w:tcW w:w="1000" w:type="pct"/>
            <w:vAlign w:val="center"/>
          </w:tcPr>
          <w:p>
            <w:pPr>
              <w:widowControl w:val="0"/>
              <w:spacing w:line="240" w:lineRule="auto"/>
              <w:ind w:firstLine="0" w:firstLineChars="0"/>
              <w:jc w:val="center"/>
              <w:rPr>
                <w:rFonts w:cs="宋体"/>
                <w:color w:val="000000"/>
                <w:kern w:val="2"/>
                <w:sz w:val="21"/>
                <w:szCs w:val="21"/>
                <w:lang w:eastAsia="zh-CN"/>
              </w:rPr>
            </w:pPr>
            <w:r>
              <w:rPr>
                <w:color w:val="000000"/>
                <w:kern w:val="2"/>
                <w:sz w:val="21"/>
                <w:szCs w:val="21"/>
                <w:lang w:eastAsia="zh-CN"/>
              </w:rPr>
              <w:t>100</w:t>
            </w:r>
          </w:p>
        </w:tc>
        <w:tc>
          <w:tcPr>
            <w:tcW w:w="1000" w:type="pct"/>
            <w:vAlign w:val="center"/>
          </w:tcPr>
          <w:p>
            <w:pPr>
              <w:widowControl w:val="0"/>
              <w:spacing w:line="240" w:lineRule="auto"/>
              <w:ind w:firstLine="0" w:firstLineChars="0"/>
              <w:jc w:val="center"/>
              <w:rPr>
                <w:color w:val="000000"/>
                <w:kern w:val="2"/>
                <w:sz w:val="21"/>
                <w:szCs w:val="21"/>
                <w:lang w:eastAsia="zh-CN"/>
              </w:rPr>
            </w:pPr>
            <w:r>
              <w:rPr>
                <w:color w:val="000000"/>
                <w:kern w:val="2"/>
                <w:sz w:val="21"/>
                <w:szCs w:val="21"/>
                <w:lang w:eastAsia="zh-CN"/>
              </w:rPr>
              <w:t>100</w:t>
            </w:r>
            <w:r>
              <w:rPr>
                <w:rFonts w:hint="eastAsia"/>
                <w:color w:val="000000"/>
                <w:kern w:val="2"/>
                <w:sz w:val="21"/>
                <w:szCs w:val="21"/>
                <w:lang w:eastAsia="zh-CN"/>
              </w:rPr>
              <w:t>%</w:t>
            </w:r>
          </w:p>
        </w:tc>
      </w:tr>
    </w:tbl>
    <w:p>
      <w:pPr>
        <w:widowControl w:val="0"/>
        <w:ind w:firstLine="560"/>
        <w:rPr>
          <w:rFonts w:cs="仿宋_GB2312"/>
          <w:sz w:val="28"/>
          <w:szCs w:val="28"/>
          <w:lang w:eastAsia="zh-CN"/>
        </w:rPr>
      </w:pPr>
      <w:r>
        <w:rPr>
          <w:rFonts w:hint="eastAsia" w:cs="仿宋_GB2312"/>
          <w:sz w:val="28"/>
          <w:szCs w:val="28"/>
          <w:lang w:eastAsia="zh-CN"/>
        </w:rPr>
        <w:t>注：</w:t>
      </w:r>
      <w:r>
        <w:rPr>
          <w:rFonts w:hint="eastAsia" w:cs="仿宋_GB2312"/>
          <w:kern w:val="2"/>
          <w:sz w:val="28"/>
          <w:szCs w:val="28"/>
          <w:lang w:eastAsia="zh-CN"/>
        </w:rPr>
        <w:t>当有超过20%的题目不作答时，此问卷将做无效处理。</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（二）调查数据统计</w:t>
      </w:r>
    </w:p>
    <w:p>
      <w:pPr>
        <w:widowControl w:val="0"/>
        <w:ind w:firstLine="640"/>
        <w:rPr>
          <w:rFonts w:cs="仿宋_GB2312"/>
          <w:szCs w:val="32"/>
          <w:lang w:eastAsia="zh-CN"/>
        </w:rPr>
      </w:pPr>
      <w:r>
        <w:rPr>
          <w:rFonts w:hint="eastAsia" w:cs="仿宋_GB2312"/>
          <w:szCs w:val="32"/>
          <w:lang w:eastAsia="zh-CN"/>
        </w:rPr>
        <w:t>根据回收的有效问卷，评价组对相关满意度问题调查结果进行了统计，整理见表2，主要对相关内容的各选项数量（人次）及占比进行列示。满意度测算公式为对应满意度选择人次占全部问卷的比例。</w:t>
      </w:r>
    </w:p>
    <w:p>
      <w:pPr>
        <w:widowControl w:val="0"/>
        <w:ind w:firstLine="0" w:firstLineChars="0"/>
        <w:jc w:val="center"/>
        <w:rPr>
          <w:rFonts w:ascii="黑体" w:hAnsi="黑体" w:eastAsia="黑体"/>
          <w:sz w:val="24"/>
          <w:szCs w:val="24"/>
          <w:lang w:eastAsia="zh-CN"/>
        </w:rPr>
      </w:pPr>
      <w:r>
        <w:rPr>
          <w:rFonts w:hint="eastAsia" w:ascii="黑体" w:hAnsi="黑体" w:eastAsia="黑体"/>
          <w:sz w:val="24"/>
          <w:szCs w:val="24"/>
          <w:lang w:eastAsia="zh-CN"/>
        </w:rPr>
        <w:t>表2 满意度调查数据统计</w:t>
      </w:r>
    </w:p>
    <w:tbl>
      <w:tblPr>
        <w:tblStyle w:val="23"/>
        <w:tblW w:w="0" w:type="auto"/>
        <w:tblInd w:w="0" w:type="dxa"/>
        <w:tblLayout w:type="autofit"/>
        <w:tblCellMar>
          <w:top w:w="0" w:type="dxa"/>
          <w:left w:w="108" w:type="dxa"/>
          <w:bottom w:w="0" w:type="dxa"/>
          <w:right w:w="108" w:type="dxa"/>
        </w:tblCellMar>
      </w:tblPr>
      <w:tblGrid>
        <w:gridCol w:w="656"/>
        <w:gridCol w:w="2416"/>
        <w:gridCol w:w="1053"/>
        <w:gridCol w:w="1053"/>
        <w:gridCol w:w="1053"/>
        <w:gridCol w:w="1044"/>
        <w:gridCol w:w="1247"/>
      </w:tblGrid>
      <w:tr>
        <w:tblPrEx>
          <w:tblCellMar>
            <w:top w:w="0" w:type="dxa"/>
            <w:left w:w="108" w:type="dxa"/>
            <w:bottom w:w="0" w:type="dxa"/>
            <w:right w:w="108" w:type="dxa"/>
          </w:tblCellMar>
        </w:tblPrEx>
        <w:trPr>
          <w:trHeight w:val="576" w:hRule="atLeast"/>
        </w:trPr>
        <w:tc>
          <w:tcPr>
            <w:tcW w:w="0" w:type="auto"/>
            <w:tcBorders>
              <w:top w:val="single" w:color="auto" w:sz="4" w:space="0"/>
              <w:left w:val="single" w:color="auto" w:sz="4" w:space="0"/>
              <w:bottom w:val="nil"/>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序号</w:t>
            </w:r>
          </w:p>
        </w:tc>
        <w:tc>
          <w:tcPr>
            <w:tcW w:w="0" w:type="auto"/>
            <w:tcBorders>
              <w:top w:val="single" w:color="auto" w:sz="4" w:space="0"/>
              <w:left w:val="nil"/>
              <w:bottom w:val="single" w:color="auto" w:sz="4" w:space="0"/>
              <w:right w:val="single" w:color="auto" w:sz="4" w:space="0"/>
              <w:tl2br w:val="single" w:color="auto" w:sz="4" w:space="0"/>
            </w:tcBorders>
            <w:shd w:val="clear" w:color="auto" w:fill="auto"/>
            <w:vAlign w:val="center"/>
          </w:tcPr>
          <w:p>
            <w:pPr>
              <w:widowControl w:val="0"/>
              <w:spacing w:line="240" w:lineRule="auto"/>
              <w:ind w:firstLine="0" w:firstLineChars="0"/>
              <w:rPr>
                <w:rFonts w:ascii="宋体" w:hAnsi="宋体" w:eastAsia="宋体" w:cs="宋体"/>
                <w:color w:val="000000"/>
                <w:sz w:val="22"/>
                <w:lang w:eastAsia="zh-CN"/>
              </w:rPr>
            </w:pPr>
            <w:r>
              <w:rPr>
                <w:rFonts w:hint="eastAsia" w:ascii="宋体" w:hAnsi="宋体" w:eastAsia="宋体" w:cs="宋体"/>
                <w:color w:val="000000"/>
                <w:sz w:val="22"/>
                <w:lang w:eastAsia="zh-CN"/>
              </w:rPr>
              <w:t xml:space="preserve">          选项</w:t>
            </w:r>
            <w:r>
              <w:rPr>
                <w:rFonts w:hint="eastAsia" w:ascii="宋体" w:hAnsi="宋体" w:eastAsia="宋体" w:cs="宋体"/>
                <w:color w:val="000000"/>
                <w:sz w:val="22"/>
                <w:lang w:eastAsia="zh-CN"/>
              </w:rPr>
              <w:br w:type="textWrapping"/>
            </w:r>
            <w:r>
              <w:rPr>
                <w:rFonts w:hint="eastAsia" w:ascii="宋体" w:hAnsi="宋体" w:eastAsia="宋体" w:cs="宋体"/>
                <w:color w:val="000000"/>
                <w:sz w:val="22"/>
                <w:lang w:eastAsia="zh-CN"/>
              </w:rPr>
              <w:t>问题</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非常满意</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比较满意</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基本满意</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不太满意</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非常不满意</w:t>
            </w:r>
          </w:p>
        </w:tc>
      </w:tr>
      <w:tr>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宣传情况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44</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1</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15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   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44</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41</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15</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2</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康养驿站改造情况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44</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16</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   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40</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44</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16</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民宿改造情况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39</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48</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13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   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39</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48</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13</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生态停车场改造情况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34</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44</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22</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   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34</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44</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22</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ascii="宋体" w:hAnsi="宋体" w:eastAsia="宋体" w:cs="宋体"/>
                <w:color w:val="000000"/>
                <w:sz w:val="22"/>
                <w:lang w:eastAsia="zh-CN"/>
              </w:rPr>
              <w:t>0</w:t>
            </w:r>
            <w:r>
              <w:rPr>
                <w:rFonts w:hint="eastAsia"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给水污水管网改造情况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5</w:t>
            </w:r>
            <w:r>
              <w:rPr>
                <w:rFonts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2</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5</w:t>
            </w:r>
            <w:r>
              <w:rPr>
                <w:rFonts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2%</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6</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厕所改造情况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8</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7</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8%</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7%</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7</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生态环境改善情况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9</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6</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9%</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5%</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6%</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8</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生活水平提升情况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7</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7%</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9</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文明建设情况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7</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5</w:t>
            </w: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3</w:t>
            </w:r>
            <w:r>
              <w:rPr>
                <w:rFonts w:ascii="宋体" w:hAnsi="宋体" w:eastAsia="宋体" w:cs="宋体"/>
                <w:color w:val="000000"/>
                <w:sz w:val="22"/>
                <w:lang w:eastAsia="zh-CN"/>
              </w:rPr>
              <w:t>7%</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5</w:t>
            </w: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3%</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r>
      <w:tr>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0</w:t>
            </w: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总体情况</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8</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2</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p>
        </w:tc>
      </w:tr>
      <w:tr>
        <w:tblPrEx>
          <w:tblCellMar>
            <w:top w:w="0" w:type="dxa"/>
            <w:left w:w="108" w:type="dxa"/>
            <w:bottom w:w="0" w:type="dxa"/>
            <w:right w:w="108" w:type="dxa"/>
          </w:tblCellMar>
        </w:tblPrEx>
        <w:trPr>
          <w:trHeight w:val="288" w:hRule="atLeast"/>
        </w:trPr>
        <w:tc>
          <w:tcPr>
            <w:tcW w:w="0" w:type="auto"/>
            <w:gridSpan w:val="2"/>
            <w:tcBorders>
              <w:top w:val="nil"/>
              <w:left w:val="single" w:color="auto" w:sz="4" w:space="0"/>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占比</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0%</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4</w:t>
            </w:r>
            <w:r>
              <w:rPr>
                <w:rFonts w:ascii="宋体" w:hAnsi="宋体" w:eastAsia="宋体" w:cs="宋体"/>
                <w:color w:val="000000"/>
                <w:sz w:val="22"/>
                <w:lang w:eastAsia="zh-CN"/>
              </w:rPr>
              <w:t>8%</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1</w:t>
            </w:r>
            <w:r>
              <w:rPr>
                <w:rFonts w:ascii="宋体" w:hAnsi="宋体" w:eastAsia="宋体" w:cs="宋体"/>
                <w:color w:val="000000"/>
                <w:sz w:val="22"/>
                <w:lang w:eastAsia="zh-CN"/>
              </w:rPr>
              <w:t>2%</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c>
          <w:tcPr>
            <w:tcW w:w="0" w:type="auto"/>
            <w:tcBorders>
              <w:top w:val="nil"/>
              <w:left w:val="nil"/>
              <w:bottom w:val="single" w:color="auto" w:sz="4" w:space="0"/>
              <w:right w:val="single" w:color="auto" w:sz="4" w:space="0"/>
            </w:tcBorders>
            <w:shd w:val="clear" w:color="auto" w:fill="auto"/>
            <w:noWrap/>
            <w:vAlign w:val="center"/>
          </w:tcPr>
          <w:p>
            <w:pPr>
              <w:widowControl w:val="0"/>
              <w:spacing w:line="240" w:lineRule="auto"/>
              <w:ind w:firstLine="0" w:firstLineChars="0"/>
              <w:jc w:val="center"/>
              <w:rPr>
                <w:rFonts w:ascii="宋体" w:hAnsi="宋体" w:eastAsia="宋体" w:cs="宋体"/>
                <w:color w:val="000000"/>
                <w:sz w:val="22"/>
                <w:lang w:eastAsia="zh-CN"/>
              </w:rPr>
            </w:pPr>
            <w:r>
              <w:rPr>
                <w:rFonts w:hint="eastAsia" w:ascii="宋体" w:hAnsi="宋体" w:eastAsia="宋体" w:cs="宋体"/>
                <w:color w:val="000000"/>
                <w:sz w:val="22"/>
                <w:lang w:eastAsia="zh-CN"/>
              </w:rPr>
              <w:t>0</w:t>
            </w:r>
            <w:r>
              <w:rPr>
                <w:rFonts w:ascii="宋体" w:hAnsi="宋体" w:eastAsia="宋体" w:cs="宋体"/>
                <w:color w:val="000000"/>
                <w:sz w:val="22"/>
                <w:lang w:eastAsia="zh-CN"/>
              </w:rPr>
              <w:t>%</w:t>
            </w:r>
          </w:p>
        </w:tc>
      </w:tr>
    </w:tbl>
    <w:p>
      <w:pPr>
        <w:widowControl w:val="0"/>
        <w:ind w:firstLine="640"/>
        <w:rPr>
          <w:rFonts w:cs="仿宋_GB2312"/>
          <w:szCs w:val="32"/>
          <w:lang w:eastAsia="zh-CN"/>
        </w:rPr>
      </w:pPr>
      <w:r>
        <w:rPr>
          <w:rFonts w:hint="eastAsia" w:cs="仿宋_GB2312"/>
          <w:szCs w:val="32"/>
          <w:lang w:eastAsia="zh-CN"/>
        </w:rPr>
        <w:t>注：满意度测算公式各项满意度占比=对应满意度选择人次/全部有效问卷数量。</w:t>
      </w:r>
    </w:p>
    <w:p>
      <w:pPr>
        <w:widowControl w:val="0"/>
        <w:ind w:firstLine="640"/>
        <w:rPr>
          <w:rFonts w:ascii="黑体" w:hAnsi="黑体" w:eastAsia="黑体" w:cs="仿宋_GB2312"/>
          <w:bCs/>
          <w:szCs w:val="32"/>
          <w:lang w:eastAsia="zh-CN"/>
        </w:rPr>
      </w:pPr>
      <w:r>
        <w:rPr>
          <w:rFonts w:hint="eastAsia" w:ascii="黑体" w:hAnsi="黑体" w:eastAsia="黑体" w:cs="仿宋_GB2312"/>
          <w:bCs/>
          <w:szCs w:val="32"/>
          <w:lang w:eastAsia="zh-CN"/>
        </w:rPr>
        <w:t>二、总体满意度分析</w:t>
      </w:r>
    </w:p>
    <w:p>
      <w:pPr>
        <w:widowControl w:val="0"/>
        <w:ind w:firstLine="640"/>
        <w:rPr>
          <w:rFonts w:cs="仿宋_GB2312"/>
          <w:szCs w:val="32"/>
          <w:lang w:eastAsia="zh-CN"/>
        </w:rPr>
      </w:pPr>
      <w:r>
        <w:rPr>
          <w:rFonts w:hint="eastAsia" w:cs="仿宋_GB2312"/>
          <w:szCs w:val="32"/>
          <w:lang w:eastAsia="zh-CN"/>
        </w:rPr>
        <w:t>调查问卷相关满意度问题设置中，调查对象选择非常满意、比较满意、基本满意答案的均视为相关人员对项目该项内容满意。</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（一）宣传情况满意度</w:t>
      </w:r>
    </w:p>
    <w:p>
      <w:pPr>
        <w:widowControl w:val="0"/>
        <w:ind w:firstLine="640"/>
        <w:rPr>
          <w:rFonts w:cs="仿宋_GB2312"/>
          <w:szCs w:val="32"/>
          <w:lang w:eastAsia="zh-CN"/>
        </w:rPr>
      </w:pPr>
      <w:r>
        <w:rPr>
          <w:rFonts w:hint="eastAsia" w:cs="仿宋_GB2312"/>
          <w:szCs w:val="32"/>
          <w:lang w:eastAsia="zh-CN"/>
        </w:rPr>
        <w:t>问卷中宣传情况调查统计为</w:t>
      </w:r>
      <w:r>
        <w:rPr>
          <w:rFonts w:cs="仿宋_GB2312"/>
          <w:szCs w:val="32"/>
          <w:lang w:eastAsia="zh-CN"/>
        </w:rPr>
        <w:t>100</w:t>
      </w:r>
      <w:r>
        <w:rPr>
          <w:rFonts w:hint="eastAsia" w:cs="仿宋_GB2312"/>
          <w:szCs w:val="32"/>
          <w:lang w:eastAsia="zh-CN"/>
        </w:rPr>
        <w:t>人次；对宣传情况满意以上的为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%。项目宣传情况调查结果见图1，满意度占比见图2。</w:t>
      </w:r>
    </w:p>
    <w:p>
      <w:pPr>
        <w:widowControl w:val="0"/>
        <w:spacing w:line="240" w:lineRule="auto"/>
        <w:ind w:firstLine="0" w:firstLineChars="0"/>
        <w:rPr>
          <w:rFonts w:ascii="仿宋_GB2312" w:hAnsi="仿宋_GB2312" w:eastAsia="仿宋_GB2312" w:cs="仿宋_GB2312"/>
          <w:sz w:val="28"/>
          <w:szCs w:val="28"/>
          <w:lang w:eastAsia="zh-CN"/>
        </w:rPr>
      </w:pPr>
      <w:r>
        <w:drawing>
          <wp:inline distT="0" distB="0" distL="0" distR="0">
            <wp:extent cx="2697480" cy="1920240"/>
            <wp:effectExtent l="0" t="0" r="0" b="0"/>
            <wp:docPr id="130736095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仿宋_GB2312" w:hAnsi="仿宋_GB2312" w:eastAsia="仿宋_GB2312" w:cs="仿宋_GB2312"/>
          <w:sz w:val="28"/>
          <w:szCs w:val="28"/>
          <w:lang w:eastAsia="zh-CN"/>
        </w:rPr>
        <w:t xml:space="preserve"> </w:t>
      </w:r>
      <w:r>
        <w:drawing>
          <wp:inline distT="0" distB="0" distL="0" distR="0">
            <wp:extent cx="2468880" cy="1923415"/>
            <wp:effectExtent l="0" t="0" r="0" b="0"/>
            <wp:docPr id="4604772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val="0"/>
        <w:spacing w:line="240" w:lineRule="auto"/>
        <w:ind w:firstLine="1068" w:firstLineChars="509"/>
        <w:rPr>
          <w:rFonts w:ascii="黑体" w:hAnsi="黑体" w:eastAsia="黑体" w:cs="黑体"/>
          <w:color w:val="000000"/>
          <w:sz w:val="21"/>
          <w:szCs w:val="21"/>
          <w:lang w:val="zh-TW" w:eastAsia="zh-TW" w:bidi="zh-TW"/>
        </w:rPr>
      </w:pPr>
      <w:r>
        <w:rPr>
          <w:rFonts w:hint="eastAsia" w:ascii="黑体" w:hAnsi="黑体" w:eastAsia="黑体" w:cs="黑体"/>
          <w:color w:val="000000"/>
          <w:sz w:val="21"/>
          <w:szCs w:val="21"/>
          <w:lang w:val="zh-TW" w:eastAsia="zh-TW" w:bidi="zh-TW"/>
        </w:rPr>
        <w:t>图1</w:t>
      </w:r>
      <w:r>
        <w:rPr>
          <w:rFonts w:hint="eastAsia" w:ascii="黑体" w:hAnsi="黑体" w:eastAsia="黑体" w:cs="黑体"/>
          <w:color w:val="000000"/>
          <w:sz w:val="21"/>
          <w:szCs w:val="21"/>
          <w:lang w:val="zh-TW" w:eastAsia="zh-CN" w:bidi="zh-TW"/>
        </w:rPr>
        <w:t xml:space="preserve"> 宣传</w:t>
      </w:r>
      <w:r>
        <w:rPr>
          <w:rFonts w:hint="eastAsia" w:ascii="黑体" w:hAnsi="黑体" w:eastAsia="黑体" w:cs="黑体"/>
          <w:color w:val="000000"/>
          <w:sz w:val="21"/>
          <w:szCs w:val="21"/>
          <w:lang w:val="zh-TW" w:eastAsia="zh-TW" w:bidi="zh-TW"/>
        </w:rPr>
        <w:t xml:space="preserve">情况调查结果        </w:t>
      </w:r>
      <w:r>
        <w:rPr>
          <w:rFonts w:hint="eastAsia" w:ascii="黑体" w:hAnsi="黑体" w:eastAsia="黑体" w:cs="黑体"/>
          <w:color w:val="000000"/>
          <w:sz w:val="21"/>
          <w:szCs w:val="21"/>
          <w:lang w:val="zh-TW" w:eastAsia="zh-CN" w:bidi="zh-TW"/>
        </w:rPr>
        <w:t xml:space="preserve"> </w:t>
      </w:r>
      <w:r>
        <w:rPr>
          <w:rFonts w:hint="eastAsia" w:ascii="黑体" w:hAnsi="黑体" w:eastAsia="黑体" w:cs="黑体"/>
          <w:color w:val="000000"/>
          <w:sz w:val="21"/>
          <w:szCs w:val="21"/>
          <w:lang w:val="zh-TW" w:eastAsia="zh-TW" w:bidi="zh-TW"/>
        </w:rPr>
        <w:t xml:space="preserve">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图2</w:t>
      </w:r>
      <w:r>
        <w:rPr>
          <w:rFonts w:hint="eastAsia" w:ascii="黑体" w:hAnsi="黑体" w:eastAsia="黑体" w:cs="黑体"/>
          <w:color w:val="000000"/>
          <w:sz w:val="21"/>
          <w:szCs w:val="21"/>
          <w:lang w:val="zh-TW" w:eastAsia="zh-CN" w:bidi="zh-TW"/>
        </w:rPr>
        <w:t xml:space="preserve"> 宣传</w:t>
      </w:r>
      <w:r>
        <w:rPr>
          <w:rFonts w:hint="eastAsia" w:ascii="黑体" w:hAnsi="黑体" w:eastAsia="黑体" w:cs="黑体"/>
          <w:color w:val="000000"/>
          <w:sz w:val="21"/>
          <w:szCs w:val="21"/>
          <w:lang w:val="zh-TW" w:eastAsia="zh-TW" w:bidi="zh-TW"/>
        </w:rPr>
        <w:t>情况满意度比例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（二）康养驿站改造情况满意度</w:t>
      </w:r>
    </w:p>
    <w:p>
      <w:pPr>
        <w:widowControl w:val="0"/>
        <w:ind w:firstLine="640"/>
        <w:rPr>
          <w:rFonts w:cs="仿宋_GB2312"/>
          <w:szCs w:val="32"/>
          <w:lang w:eastAsia="zh-CN"/>
        </w:rPr>
      </w:pPr>
      <w:r>
        <w:rPr>
          <w:rFonts w:hint="eastAsia" w:cs="仿宋_GB2312"/>
          <w:szCs w:val="32"/>
          <w:lang w:eastAsia="zh-CN"/>
        </w:rPr>
        <w:t>问卷中康养驿站改造情况调查统计为</w:t>
      </w:r>
      <w:r>
        <w:rPr>
          <w:rFonts w:cs="仿宋_GB2312"/>
          <w:szCs w:val="32"/>
          <w:lang w:eastAsia="zh-CN"/>
        </w:rPr>
        <w:t>100</w:t>
      </w:r>
      <w:r>
        <w:rPr>
          <w:rFonts w:hint="eastAsia" w:cs="仿宋_GB2312"/>
          <w:szCs w:val="32"/>
          <w:lang w:eastAsia="zh-CN"/>
        </w:rPr>
        <w:t>人次；对康养驿站改造情况满意以上的为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%。康养驿站改造情况调查结果见图3，满意度占比见图4。</w:t>
      </w:r>
    </w:p>
    <w:p>
      <w:pPr>
        <w:widowControl w:val="0"/>
        <w:ind w:left="1280" w:hanging="1280" w:hangingChars="400"/>
        <w:rPr>
          <w:rFonts w:ascii="仿宋_GB2312" w:eastAsia="仿宋_GB2312" w:cs="宋体"/>
          <w:sz w:val="30"/>
          <w:szCs w:val="30"/>
          <w:lang w:eastAsia="zh-CN"/>
        </w:rPr>
      </w:pPr>
      <w:r>
        <w:drawing>
          <wp:inline distT="0" distB="0" distL="0" distR="0">
            <wp:extent cx="2697480" cy="1921510"/>
            <wp:effectExtent l="0" t="0" r="0" b="0"/>
            <wp:docPr id="179406860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eastAsia" w:ascii="仿宋_GB2312" w:eastAsia="仿宋_GB2312" w:cs="宋体"/>
          <w:sz w:val="30"/>
          <w:szCs w:val="30"/>
          <w:lang w:eastAsia="zh-CN"/>
        </w:rPr>
        <w:t xml:space="preserve"> </w:t>
      </w:r>
      <w:r>
        <w:drawing>
          <wp:inline distT="0" distB="0" distL="0" distR="0">
            <wp:extent cx="2468880" cy="1862455"/>
            <wp:effectExtent l="0" t="0" r="0" b="0"/>
            <wp:docPr id="2039774129" name="图表 2039774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val="0"/>
        <w:ind w:firstLine="420"/>
        <w:rPr>
          <w:rFonts w:ascii="黑体" w:hAnsi="黑体" w:eastAsia="黑体" w:cs="黑体"/>
          <w:color w:val="000000"/>
          <w:sz w:val="21"/>
          <w:szCs w:val="21"/>
          <w:lang w:val="zh-TW" w:eastAsia="zh-TW" w:bidi="zh-TW"/>
        </w:rPr>
      </w:pPr>
      <w:r>
        <w:rPr>
          <w:rFonts w:hint="eastAsia" w:ascii="黑体" w:hAnsi="黑体" w:eastAsia="黑体" w:cs="黑体"/>
          <w:color w:val="000000"/>
          <w:sz w:val="21"/>
          <w:szCs w:val="21"/>
          <w:lang w:val="zh-TW" w:eastAsia="zh-TW" w:bidi="zh-TW"/>
        </w:rPr>
        <w:t>图3</w:t>
      </w:r>
      <w:r>
        <w:rPr>
          <w:rFonts w:hint="eastAsia" w:ascii="黑体" w:hAnsi="黑体" w:eastAsia="黑体" w:cs="黑体"/>
          <w:color w:val="000000"/>
          <w:sz w:val="21"/>
          <w:szCs w:val="21"/>
          <w:lang w:val="zh-TW" w:eastAsia="zh-CN" w:bidi="zh-TW"/>
        </w:rPr>
        <w:t xml:space="preserve"> 康养驿站改造情况</w:t>
      </w:r>
      <w:r>
        <w:rPr>
          <w:rFonts w:hint="eastAsia" w:ascii="黑体" w:hAnsi="黑体" w:eastAsia="黑体" w:cs="黑体"/>
          <w:color w:val="000000"/>
          <w:sz w:val="21"/>
          <w:szCs w:val="21"/>
          <w:lang w:val="zh-TW" w:eastAsia="zh-TW" w:bidi="zh-TW"/>
        </w:rPr>
        <w:t xml:space="preserve">调查结果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图4</w:t>
      </w:r>
      <w:r>
        <w:rPr>
          <w:rFonts w:hint="eastAsia" w:ascii="黑体" w:hAnsi="黑体" w:eastAsia="黑体" w:cs="黑体"/>
          <w:color w:val="000000"/>
          <w:sz w:val="21"/>
          <w:szCs w:val="21"/>
          <w:lang w:val="zh-TW" w:eastAsia="zh-CN" w:bidi="zh-TW"/>
        </w:rPr>
        <w:t xml:space="preserve"> </w:t>
      </w:r>
      <w:r>
        <w:rPr>
          <w:rFonts w:hint="eastAsia" w:ascii="黑体" w:hAnsi="黑体" w:eastAsia="黑体" w:cs="黑体"/>
          <w:color w:val="000000"/>
          <w:sz w:val="21"/>
          <w:szCs w:val="21"/>
          <w:lang w:val="zh-TW" w:eastAsia="zh-TW" w:bidi="zh-TW"/>
        </w:rPr>
        <w:t>康养驿站改造情况满意度比例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（三）民宿改造情况满意度</w:t>
      </w:r>
    </w:p>
    <w:p>
      <w:pPr>
        <w:widowControl w:val="0"/>
        <w:ind w:firstLine="640"/>
        <w:rPr>
          <w:rFonts w:cs="仿宋_GB2312"/>
          <w:szCs w:val="32"/>
          <w:lang w:eastAsia="zh-CN"/>
        </w:rPr>
      </w:pPr>
      <w:r>
        <w:rPr>
          <w:rFonts w:hint="eastAsia" w:cs="仿宋_GB2312"/>
          <w:szCs w:val="32"/>
          <w:lang w:eastAsia="zh-CN"/>
        </w:rPr>
        <w:t>问卷民宿改造情况调查统计为</w:t>
      </w:r>
      <w:r>
        <w:rPr>
          <w:rFonts w:cs="仿宋_GB2312"/>
          <w:szCs w:val="32"/>
          <w:lang w:eastAsia="zh-CN"/>
        </w:rPr>
        <w:t>100</w:t>
      </w:r>
      <w:r>
        <w:rPr>
          <w:rFonts w:hint="eastAsia" w:cs="仿宋_GB2312"/>
          <w:szCs w:val="32"/>
          <w:lang w:eastAsia="zh-CN"/>
        </w:rPr>
        <w:t>人次；对民宿改造情况满意以上的为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%。民宿改造情况调查结果见图5，满意度占比见图6。</w:t>
      </w:r>
    </w:p>
    <w:p>
      <w:pPr>
        <w:widowControl w:val="0"/>
        <w:ind w:firstLine="0" w:firstLineChars="0"/>
        <w:rPr>
          <w:rFonts w:ascii="仿宋_GB2312" w:eastAsia="仿宋_GB2312" w:cs="宋体"/>
          <w:sz w:val="30"/>
          <w:szCs w:val="30"/>
          <w:lang w:eastAsia="zh-CN"/>
        </w:rPr>
      </w:pPr>
      <w:r>
        <w:drawing>
          <wp:inline distT="0" distB="0" distL="0" distR="0">
            <wp:extent cx="2692400" cy="1803400"/>
            <wp:effectExtent l="0" t="0" r="0" b="0"/>
            <wp:docPr id="135717048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eastAsia" w:ascii="仿宋_GB2312" w:eastAsia="仿宋_GB2312" w:cs="宋体"/>
          <w:sz w:val="30"/>
          <w:szCs w:val="30"/>
          <w:lang w:eastAsia="zh-CN"/>
        </w:rPr>
        <w:t xml:space="preserve"> </w:t>
      </w:r>
      <w:r>
        <w:drawing>
          <wp:inline distT="0" distB="0" distL="0" distR="0">
            <wp:extent cx="2468880" cy="1862455"/>
            <wp:effectExtent l="0" t="0" r="0" b="0"/>
            <wp:docPr id="510538211" name="图表 51053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val="0"/>
        <w:spacing w:line="360" w:lineRule="exact"/>
        <w:ind w:firstLine="648" w:firstLineChars="309"/>
        <w:rPr>
          <w:rFonts w:ascii="黑体" w:hAnsi="黑体" w:eastAsia="黑体" w:cs="黑体"/>
          <w:color w:val="000000"/>
          <w:sz w:val="21"/>
          <w:szCs w:val="21"/>
          <w:lang w:val="zh-TW" w:eastAsia="zh-TW" w:bidi="zh-TW"/>
        </w:rPr>
      </w:pPr>
      <w:r>
        <w:rPr>
          <w:rFonts w:hint="eastAsia" w:ascii="黑体" w:hAnsi="黑体" w:eastAsia="黑体" w:cs="黑体"/>
          <w:color w:val="000000"/>
          <w:sz w:val="21"/>
          <w:szCs w:val="21"/>
          <w:lang w:val="zh-TW" w:eastAsia="zh-TW" w:bidi="zh-TW"/>
        </w:rPr>
        <w:t>图5</w:t>
      </w:r>
      <w:r>
        <w:rPr>
          <w:rFonts w:hint="eastAsia" w:ascii="黑体" w:hAnsi="黑体" w:eastAsia="黑体" w:cs="黑体"/>
          <w:color w:val="000000"/>
          <w:sz w:val="21"/>
          <w:szCs w:val="21"/>
          <w:lang w:val="zh-TW" w:eastAsia="zh-CN" w:bidi="zh-TW"/>
        </w:rPr>
        <w:t xml:space="preserve"> 民宿改造情况</w:t>
      </w:r>
      <w:r>
        <w:rPr>
          <w:rFonts w:hint="eastAsia" w:ascii="黑体" w:hAnsi="黑体" w:eastAsia="黑体" w:cs="黑体"/>
          <w:color w:val="000000"/>
          <w:sz w:val="21"/>
          <w:szCs w:val="21"/>
          <w:lang w:val="zh-TW" w:eastAsia="zh-TW" w:bidi="zh-TW"/>
        </w:rPr>
        <w:t xml:space="preserve">调查结果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 xml:space="preserve">图6 </w:t>
      </w:r>
      <w:r>
        <w:rPr>
          <w:rFonts w:hint="eastAsia" w:ascii="黑体" w:hAnsi="黑体" w:eastAsia="黑体" w:cs="黑体"/>
          <w:color w:val="000000"/>
          <w:sz w:val="21"/>
          <w:szCs w:val="21"/>
          <w:lang w:val="zh-TW" w:eastAsia="zh-CN" w:bidi="zh-TW"/>
        </w:rPr>
        <w:t>民宿改造情况</w:t>
      </w:r>
      <w:r>
        <w:rPr>
          <w:rFonts w:hint="eastAsia" w:ascii="黑体" w:hAnsi="黑体" w:eastAsia="黑体" w:cs="黑体"/>
          <w:color w:val="000000"/>
          <w:sz w:val="21"/>
          <w:szCs w:val="21"/>
          <w:lang w:val="zh-TW" w:eastAsia="zh-TW" w:bidi="zh-TW"/>
        </w:rPr>
        <w:t>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（四）生态停车场改造情况满意度</w:t>
      </w:r>
    </w:p>
    <w:p>
      <w:pPr>
        <w:widowControl w:val="0"/>
        <w:ind w:firstLine="640"/>
        <w:rPr>
          <w:rFonts w:cs="仿宋_GB2312"/>
          <w:szCs w:val="32"/>
          <w:lang w:eastAsia="zh-CN"/>
        </w:rPr>
      </w:pPr>
      <w:r>
        <w:rPr>
          <w:rFonts w:hint="eastAsia" w:cs="仿宋_GB2312"/>
          <w:szCs w:val="32"/>
          <w:lang w:eastAsia="zh-CN"/>
        </w:rPr>
        <w:t>问卷中生态停车场改造情况调查统计为</w:t>
      </w:r>
      <w:r>
        <w:rPr>
          <w:rFonts w:cs="仿宋_GB2312"/>
          <w:szCs w:val="32"/>
          <w:lang w:eastAsia="zh-CN"/>
        </w:rPr>
        <w:t>100</w:t>
      </w:r>
      <w:r>
        <w:rPr>
          <w:rFonts w:hint="eastAsia" w:cs="仿宋_GB2312"/>
          <w:szCs w:val="32"/>
          <w:lang w:eastAsia="zh-CN"/>
        </w:rPr>
        <w:t>人次；对生态停车场改造情况满意以上的为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%。生态停车场改造情况调查结果见图7，满意度占比见图8。</w:t>
      </w:r>
    </w:p>
    <w:p>
      <w:pPr>
        <w:widowControl w:val="0"/>
        <w:ind w:firstLine="0" w:firstLineChars="0"/>
        <w:rPr>
          <w:rFonts w:ascii="仿宋_GB2312" w:eastAsia="仿宋_GB2312" w:cs="宋体"/>
          <w:sz w:val="30"/>
          <w:szCs w:val="30"/>
          <w:lang w:eastAsia="zh-CN"/>
        </w:rPr>
      </w:pPr>
      <w:r>
        <w:drawing>
          <wp:inline distT="0" distB="0" distL="0" distR="0">
            <wp:extent cx="2641600" cy="1972310"/>
            <wp:effectExtent l="0" t="0" r="0" b="0"/>
            <wp:docPr id="21144262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eastAsia" w:ascii="仿宋_GB2312" w:eastAsia="仿宋_GB2312" w:cs="宋体"/>
          <w:sz w:val="30"/>
          <w:szCs w:val="30"/>
          <w:lang w:eastAsia="zh-CN"/>
        </w:rPr>
        <w:t xml:space="preserve"> </w:t>
      </w:r>
      <w:r>
        <w:drawing>
          <wp:inline distT="0" distB="0" distL="0" distR="0">
            <wp:extent cx="2468880" cy="1921510"/>
            <wp:effectExtent l="0" t="0" r="0" b="0"/>
            <wp:docPr id="1975542657" name="图表 1975542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widowControl w:val="0"/>
        <w:spacing w:line="360" w:lineRule="exact"/>
        <w:ind w:firstLine="438" w:firstLineChars="209"/>
        <w:rPr>
          <w:rFonts w:ascii="黑体" w:hAnsi="黑体" w:eastAsia="PMingLiU" w:cs="黑体"/>
          <w:color w:val="000000"/>
          <w:sz w:val="21"/>
          <w:szCs w:val="21"/>
          <w:lang w:val="zh-TW" w:eastAsia="zh-TW" w:bidi="zh-TW"/>
        </w:rPr>
      </w:pPr>
      <w:r>
        <w:rPr>
          <w:rFonts w:hint="eastAsia" w:ascii="黑体" w:hAnsi="黑体" w:eastAsia="黑体" w:cs="黑体"/>
          <w:color w:val="000000"/>
          <w:sz w:val="21"/>
          <w:szCs w:val="21"/>
          <w:lang w:val="zh-TW" w:eastAsia="zh-TW" w:bidi="zh-TW"/>
        </w:rPr>
        <w:t>图</w:t>
      </w:r>
      <w:r>
        <w:rPr>
          <w:rFonts w:hint="eastAsia" w:ascii="黑体" w:hAnsi="黑体" w:eastAsia="黑体" w:cs="黑体"/>
          <w:color w:val="000000"/>
          <w:sz w:val="21"/>
          <w:szCs w:val="21"/>
          <w:lang w:val="zh-TW" w:eastAsia="zh-CN" w:bidi="zh-TW"/>
        </w:rPr>
        <w:t>7</w:t>
      </w:r>
      <w:r>
        <w:rPr>
          <w:rFonts w:hint="eastAsia" w:ascii="黑体" w:hAnsi="黑体" w:eastAsia="黑体" w:cs="黑体"/>
          <w:color w:val="000000"/>
          <w:sz w:val="21"/>
          <w:szCs w:val="21"/>
          <w:lang w:val="zh-TW" w:eastAsia="zh-TW" w:bidi="zh-TW"/>
        </w:rPr>
        <w:t xml:space="preserve"> 生态停车场改造情况调查结果         图</w:t>
      </w:r>
      <w:r>
        <w:rPr>
          <w:rFonts w:hint="eastAsia" w:ascii="黑体" w:hAnsi="黑体" w:eastAsia="黑体" w:cs="黑体"/>
          <w:color w:val="000000"/>
          <w:sz w:val="21"/>
          <w:szCs w:val="21"/>
          <w:lang w:val="zh-TW" w:eastAsia="zh-CN" w:bidi="zh-TW"/>
        </w:rPr>
        <w:t>8</w:t>
      </w:r>
      <w:r>
        <w:rPr>
          <w:rFonts w:hint="eastAsia" w:ascii="黑体" w:hAnsi="黑体" w:eastAsia="黑体" w:cs="黑体"/>
          <w:color w:val="000000"/>
          <w:sz w:val="21"/>
          <w:szCs w:val="21"/>
          <w:lang w:val="zh-TW" w:eastAsia="zh-TW" w:bidi="zh-TW"/>
        </w:rPr>
        <w:t xml:space="preserve"> 生态停车场改造情况满意度比例</w:t>
      </w:r>
    </w:p>
    <w:p>
      <w:pPr>
        <w:widowControl w:val="0"/>
        <w:ind w:firstLine="0" w:firstLineChars="0"/>
        <w:rPr>
          <w:rFonts w:ascii="楷体" w:hAnsi="楷体" w:eastAsia="楷体" w:cs="仿宋_GB2312"/>
          <w:b/>
          <w:szCs w:val="32"/>
          <w:lang w:eastAsia="zh-CN"/>
        </w:rPr>
      </w:pPr>
      <w:r>
        <w:rPr>
          <w:rFonts w:ascii="仿宋_GB2312" w:eastAsia="仿宋_GB2312" w:cs="宋体"/>
          <w:sz w:val="30"/>
          <w:szCs w:val="30"/>
          <w:lang w:eastAsia="zh-CN"/>
        </w:rPr>
        <w:t xml:space="preserve"> </w:t>
      </w:r>
      <w:r>
        <w:rPr>
          <w:rFonts w:hint="eastAsia" w:ascii="仿宋_GB2312" w:eastAsia="仿宋_GB2312" w:cs="宋体"/>
          <w:sz w:val="30"/>
          <w:szCs w:val="30"/>
          <w:lang w:eastAsia="zh-CN"/>
        </w:rPr>
        <w:t xml:space="preserve"> </w:t>
      </w:r>
      <w:r>
        <w:rPr>
          <w:rFonts w:ascii="仿宋_GB2312" w:eastAsia="仿宋_GB2312" w:cs="宋体"/>
          <w:sz w:val="30"/>
          <w:szCs w:val="30"/>
          <w:lang w:eastAsia="zh-CN"/>
        </w:rPr>
        <w:t xml:space="preserve"> </w:t>
      </w:r>
      <w:r>
        <w:rPr>
          <w:rFonts w:hint="eastAsia" w:ascii="楷体" w:hAnsi="楷体" w:eastAsia="楷体" w:cs="仿宋_GB2312"/>
          <w:b/>
          <w:szCs w:val="32"/>
          <w:lang w:eastAsia="zh-CN"/>
        </w:rPr>
        <w:t>（五）给水污水管网改造情况</w:t>
      </w:r>
    </w:p>
    <w:p>
      <w:pPr>
        <w:widowControl w:val="0"/>
        <w:ind w:firstLine="640"/>
        <w:rPr>
          <w:rFonts w:cs="仿宋_GB2312"/>
          <w:szCs w:val="32"/>
          <w:lang w:eastAsia="zh-CN"/>
        </w:rPr>
      </w:pPr>
      <w:r>
        <w:rPr>
          <w:rFonts w:hint="eastAsia" w:cs="仿宋_GB2312"/>
          <w:szCs w:val="32"/>
          <w:lang w:eastAsia="zh-CN"/>
        </w:rPr>
        <w:t>问卷中给水污水管网改造情况调查统计为1</w:t>
      </w:r>
      <w:r>
        <w:rPr>
          <w:rFonts w:cs="仿宋_GB2312"/>
          <w:szCs w:val="32"/>
          <w:lang w:eastAsia="zh-CN"/>
        </w:rPr>
        <w:t>00</w:t>
      </w:r>
      <w:r>
        <w:rPr>
          <w:rFonts w:hint="eastAsia" w:cs="仿宋_GB2312"/>
          <w:szCs w:val="32"/>
          <w:lang w:eastAsia="zh-CN"/>
        </w:rPr>
        <w:t>人次；对给水污水管网改造情况满意以上的为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%。项目给水污水管网改造情况调查结果见图</w:t>
      </w:r>
      <w:r>
        <w:rPr>
          <w:rFonts w:cs="仿宋_GB2312"/>
          <w:szCs w:val="32"/>
          <w:lang w:eastAsia="zh-CN"/>
        </w:rPr>
        <w:t>9</w:t>
      </w:r>
      <w:r>
        <w:rPr>
          <w:rFonts w:hint="eastAsia" w:cs="仿宋_GB2312"/>
          <w:szCs w:val="32"/>
          <w:lang w:eastAsia="zh-CN"/>
        </w:rPr>
        <w:t>，满意度占比见图</w:t>
      </w:r>
      <w:r>
        <w:rPr>
          <w:rFonts w:cs="仿宋_GB2312"/>
          <w:szCs w:val="32"/>
          <w:lang w:eastAsia="zh-CN"/>
        </w:rPr>
        <w:t>10</w:t>
      </w:r>
      <w:r>
        <w:rPr>
          <w:rFonts w:hint="eastAsia" w:cs="仿宋_GB2312"/>
          <w:szCs w:val="32"/>
          <w:lang w:eastAsia="zh-CN"/>
        </w:rPr>
        <w:t>。</w:t>
      </w:r>
    </w:p>
    <w:p>
      <w:pPr>
        <w:widowControl w:val="0"/>
        <w:ind w:firstLine="0" w:firstLineChars="0"/>
        <w:rPr>
          <w:rFonts w:ascii="仿宋_GB2312" w:eastAsia="仿宋_GB2312" w:cs="宋体"/>
          <w:sz w:val="30"/>
          <w:szCs w:val="30"/>
          <w:lang w:eastAsia="zh-CN"/>
        </w:rPr>
      </w:pPr>
      <w:r>
        <w:drawing>
          <wp:inline distT="0" distB="0" distL="0" distR="0">
            <wp:extent cx="2607310" cy="1918970"/>
            <wp:effectExtent l="0" t="0" r="0" b="0"/>
            <wp:docPr id="45996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ascii="仿宋_GB2312" w:eastAsia="仿宋_GB2312" w:cs="宋体"/>
          <w:sz w:val="30"/>
          <w:szCs w:val="30"/>
          <w:lang w:eastAsia="zh-CN"/>
        </w:rPr>
        <w:t xml:space="preserve"> </w:t>
      </w:r>
      <w:r>
        <w:drawing>
          <wp:inline distT="0" distB="0" distL="0" distR="0">
            <wp:extent cx="2468880" cy="1964055"/>
            <wp:effectExtent l="0" t="0" r="0" b="0"/>
            <wp:docPr id="1217031902" name="图表 1217031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widowControl w:val="0"/>
        <w:spacing w:line="360" w:lineRule="exact"/>
        <w:ind w:firstLine="420"/>
        <w:rPr>
          <w:rFonts w:ascii="黑体" w:hAnsi="黑体" w:eastAsia="黑体" w:cs="黑体"/>
          <w:color w:val="000000"/>
          <w:sz w:val="21"/>
          <w:szCs w:val="21"/>
          <w:lang w:val="zh-TW" w:eastAsia="zh-TW" w:bidi="zh-TW"/>
        </w:rPr>
      </w:pPr>
      <w:r>
        <w:rPr>
          <w:rFonts w:hint="eastAsia" w:ascii="黑体" w:hAnsi="黑体" w:eastAsia="黑体" w:cs="黑体"/>
          <w:color w:val="000000"/>
          <w:sz w:val="21"/>
          <w:szCs w:val="21"/>
          <w:lang w:val="zh-TW" w:eastAsia="zh-TW" w:bidi="zh-TW"/>
        </w:rPr>
        <w:t>图</w:t>
      </w:r>
      <w:r>
        <w:rPr>
          <w:rFonts w:ascii="黑体" w:hAnsi="黑体" w:eastAsia="PMingLiU" w:cs="黑体"/>
          <w:color w:val="000000"/>
          <w:sz w:val="21"/>
          <w:szCs w:val="21"/>
          <w:lang w:val="zh-TW" w:eastAsia="zh-TW" w:bidi="zh-TW"/>
        </w:rPr>
        <w:t>9</w:t>
      </w:r>
      <w:r>
        <w:rPr>
          <w:rFonts w:hint="eastAsia" w:ascii="黑体" w:hAnsi="黑体" w:eastAsia="黑体" w:cs="黑体"/>
          <w:color w:val="000000"/>
          <w:sz w:val="21"/>
          <w:szCs w:val="21"/>
          <w:lang w:val="zh-TW" w:eastAsia="zh-TW" w:bidi="zh-TW"/>
        </w:rPr>
        <w:t xml:space="preserve"> 给水污水管网改造情况调查结果     图</w:t>
      </w:r>
      <w:r>
        <w:rPr>
          <w:rFonts w:ascii="黑体" w:hAnsi="黑体" w:eastAsia="PMingLiU" w:cs="黑体"/>
          <w:color w:val="000000"/>
          <w:sz w:val="21"/>
          <w:szCs w:val="21"/>
          <w:lang w:val="zh-TW" w:eastAsia="zh-TW" w:bidi="zh-TW"/>
        </w:rPr>
        <w:t xml:space="preserve">10 </w:t>
      </w:r>
      <w:r>
        <w:rPr>
          <w:rFonts w:hint="eastAsia" w:ascii="黑体" w:hAnsi="黑体" w:eastAsia="黑体" w:cs="黑体"/>
          <w:color w:val="000000"/>
          <w:sz w:val="21"/>
          <w:szCs w:val="21"/>
          <w:lang w:val="zh-TW" w:eastAsia="zh-TW" w:bidi="zh-TW"/>
        </w:rPr>
        <w:t>给水污水管网改造情况满意度比例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（六）厕所改造情况满意度</w:t>
      </w:r>
    </w:p>
    <w:p>
      <w:pPr>
        <w:widowControl w:val="0"/>
        <w:ind w:firstLine="640"/>
        <w:rPr>
          <w:rFonts w:cs="仿宋_GB2312"/>
          <w:szCs w:val="32"/>
          <w:lang w:eastAsia="zh-CN"/>
        </w:rPr>
      </w:pPr>
      <w:r>
        <w:rPr>
          <w:rFonts w:hint="eastAsia" w:cs="仿宋_GB2312"/>
          <w:szCs w:val="32"/>
          <w:lang w:eastAsia="zh-CN"/>
        </w:rPr>
        <w:t>问卷中厕所改造情况调查统计为</w:t>
      </w:r>
      <w:r>
        <w:rPr>
          <w:rFonts w:cs="仿宋_GB2312"/>
          <w:szCs w:val="32"/>
          <w:lang w:eastAsia="zh-CN"/>
        </w:rPr>
        <w:t>100</w:t>
      </w:r>
      <w:r>
        <w:rPr>
          <w:rFonts w:hint="eastAsia" w:cs="仿宋_GB2312"/>
          <w:szCs w:val="32"/>
          <w:lang w:eastAsia="zh-CN"/>
        </w:rPr>
        <w:t>人次；对厕所改造情况满意以上的为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%。项目厕所改造情况调查结果见图1</w:t>
      </w:r>
      <w:r>
        <w:rPr>
          <w:rFonts w:cs="仿宋_GB2312"/>
          <w:szCs w:val="32"/>
          <w:lang w:eastAsia="zh-CN"/>
        </w:rPr>
        <w:t>1</w:t>
      </w:r>
      <w:r>
        <w:rPr>
          <w:rFonts w:hint="eastAsia" w:cs="仿宋_GB2312"/>
          <w:szCs w:val="32"/>
          <w:lang w:eastAsia="zh-CN"/>
        </w:rPr>
        <w:t>，满意度占比见图</w:t>
      </w:r>
      <w:r>
        <w:rPr>
          <w:rFonts w:cs="仿宋_GB2312"/>
          <w:szCs w:val="32"/>
          <w:lang w:eastAsia="zh-CN"/>
        </w:rPr>
        <w:t>12</w:t>
      </w:r>
      <w:r>
        <w:rPr>
          <w:rFonts w:hint="eastAsia" w:cs="仿宋_GB2312"/>
          <w:szCs w:val="32"/>
          <w:lang w:eastAsia="zh-CN"/>
        </w:rPr>
        <w:t>。</w:t>
      </w:r>
    </w:p>
    <w:p>
      <w:pPr>
        <w:widowControl w:val="0"/>
        <w:spacing w:line="240" w:lineRule="auto"/>
        <w:ind w:firstLine="0" w:firstLineChars="0"/>
        <w:rPr>
          <w:rFonts w:ascii="仿宋_GB2312" w:hAnsi="仿宋_GB2312" w:eastAsia="仿宋_GB2312" w:cs="仿宋_GB2312"/>
          <w:sz w:val="28"/>
          <w:szCs w:val="28"/>
          <w:lang w:eastAsia="zh-CN"/>
        </w:rPr>
      </w:pPr>
      <w:r>
        <w:drawing>
          <wp:inline distT="0" distB="0" distL="0" distR="0">
            <wp:extent cx="2607310" cy="1921510"/>
            <wp:effectExtent l="0" t="0" r="0" b="0"/>
            <wp:docPr id="15762811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hint="eastAsia" w:ascii="仿宋_GB2312" w:hAnsi="仿宋_GB2312" w:eastAsia="仿宋_GB2312" w:cs="仿宋_GB2312"/>
          <w:sz w:val="28"/>
          <w:szCs w:val="28"/>
          <w:lang w:eastAsia="zh-CN"/>
        </w:rPr>
        <w:t xml:space="preserve"> </w:t>
      </w:r>
      <w:r>
        <w:drawing>
          <wp:inline distT="0" distB="0" distL="0" distR="0">
            <wp:extent cx="2468880" cy="1885315"/>
            <wp:effectExtent l="0" t="0" r="0" b="0"/>
            <wp:docPr id="374731086" name="图表 374731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widowControl w:val="0"/>
        <w:spacing w:line="240" w:lineRule="auto"/>
        <w:ind w:firstLine="648" w:firstLineChars="309"/>
        <w:rPr>
          <w:rFonts w:ascii="黑体" w:hAnsi="黑体" w:eastAsia="黑体" w:cs="黑体"/>
          <w:color w:val="000000"/>
          <w:sz w:val="21"/>
          <w:szCs w:val="21"/>
          <w:lang w:val="zh-TW" w:eastAsia="zh-TW" w:bidi="zh-TW"/>
        </w:rPr>
      </w:pPr>
      <w:r>
        <w:rPr>
          <w:rFonts w:hint="eastAsia" w:ascii="黑体" w:hAnsi="黑体" w:eastAsia="黑体" w:cs="黑体"/>
          <w:color w:val="000000"/>
          <w:sz w:val="21"/>
          <w:szCs w:val="21"/>
          <w:lang w:val="zh-TW" w:eastAsia="zh-TW" w:bidi="zh-TW"/>
        </w:rPr>
        <w:t>图1</w:t>
      </w:r>
      <w:r>
        <w:rPr>
          <w:rFonts w:ascii="黑体" w:hAnsi="黑体" w:eastAsia="PMingLiU" w:cs="黑体"/>
          <w:color w:val="000000"/>
          <w:sz w:val="21"/>
          <w:szCs w:val="21"/>
          <w:lang w:val="zh-TW" w:eastAsia="zh-TW" w:bidi="zh-TW"/>
        </w:rPr>
        <w:t xml:space="preserve">1 </w:t>
      </w:r>
      <w:r>
        <w:rPr>
          <w:rFonts w:hint="eastAsia" w:ascii="黑体" w:hAnsi="黑体" w:eastAsia="黑体" w:cs="黑体"/>
          <w:color w:val="000000"/>
          <w:sz w:val="21"/>
          <w:szCs w:val="21"/>
          <w:lang w:val="zh-TW" w:eastAsia="zh-CN" w:bidi="zh-TW"/>
        </w:rPr>
        <w:t>厕所改造</w:t>
      </w:r>
      <w:r>
        <w:rPr>
          <w:rFonts w:hint="eastAsia" w:ascii="黑体" w:hAnsi="黑体" w:eastAsia="黑体" w:cs="黑体"/>
          <w:color w:val="000000"/>
          <w:sz w:val="21"/>
          <w:szCs w:val="21"/>
          <w:lang w:val="zh-TW" w:eastAsia="zh-TW" w:bidi="zh-TW"/>
        </w:rPr>
        <w:t xml:space="preserve">情况调查结果        </w:t>
      </w:r>
      <w:r>
        <w:rPr>
          <w:rFonts w:hint="eastAsia" w:ascii="黑体" w:hAnsi="黑体" w:eastAsia="黑体" w:cs="黑体"/>
          <w:color w:val="000000"/>
          <w:sz w:val="21"/>
          <w:szCs w:val="21"/>
          <w:lang w:val="zh-TW" w:eastAsia="zh-CN" w:bidi="zh-TW"/>
        </w:rPr>
        <w:t xml:space="preserve"> </w:t>
      </w:r>
      <w:r>
        <w:rPr>
          <w:rFonts w:hint="eastAsia" w:ascii="黑体" w:hAnsi="黑体" w:eastAsia="黑体" w:cs="黑体"/>
          <w:color w:val="000000"/>
          <w:sz w:val="21"/>
          <w:szCs w:val="21"/>
          <w:lang w:val="zh-TW" w:eastAsia="zh-TW" w:bidi="zh-TW"/>
        </w:rPr>
        <w:t xml:space="preserve">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图</w:t>
      </w:r>
      <w:r>
        <w:rPr>
          <w:rFonts w:ascii="黑体" w:hAnsi="黑体" w:eastAsia="PMingLiU" w:cs="黑体"/>
          <w:color w:val="000000"/>
          <w:sz w:val="21"/>
          <w:szCs w:val="21"/>
          <w:lang w:val="zh-TW" w:eastAsia="zh-TW" w:bidi="zh-TW"/>
        </w:rPr>
        <w:t>12</w:t>
      </w:r>
      <w:r>
        <w:rPr>
          <w:rFonts w:hint="eastAsia" w:ascii="黑体" w:hAnsi="黑体" w:eastAsia="黑体" w:cs="黑体"/>
          <w:color w:val="000000"/>
          <w:sz w:val="21"/>
          <w:szCs w:val="21"/>
          <w:lang w:val="zh-TW" w:eastAsia="zh-CN" w:bidi="zh-TW"/>
        </w:rPr>
        <w:t xml:space="preserve"> 厕所改造</w:t>
      </w:r>
      <w:r>
        <w:rPr>
          <w:rFonts w:hint="eastAsia" w:ascii="黑体" w:hAnsi="黑体" w:eastAsia="黑体" w:cs="黑体"/>
          <w:color w:val="000000"/>
          <w:sz w:val="21"/>
          <w:szCs w:val="21"/>
          <w:lang w:val="zh-TW" w:eastAsia="zh-TW" w:bidi="zh-TW"/>
        </w:rPr>
        <w:t>情况满意度比例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（七）生态环境改善情况满意度</w:t>
      </w:r>
    </w:p>
    <w:p>
      <w:pPr>
        <w:widowControl w:val="0"/>
        <w:ind w:firstLine="640"/>
        <w:rPr>
          <w:rFonts w:cs="仿宋_GB2312"/>
          <w:szCs w:val="32"/>
          <w:lang w:eastAsia="zh-CN"/>
        </w:rPr>
      </w:pPr>
      <w:r>
        <w:rPr>
          <w:rFonts w:hint="eastAsia" w:cs="仿宋_GB2312"/>
          <w:szCs w:val="32"/>
          <w:lang w:eastAsia="zh-CN"/>
        </w:rPr>
        <w:t>问卷中生态环境改善情况调查统计为</w:t>
      </w:r>
      <w:r>
        <w:rPr>
          <w:rFonts w:cs="仿宋_GB2312"/>
          <w:szCs w:val="32"/>
          <w:lang w:eastAsia="zh-CN"/>
        </w:rPr>
        <w:t>100</w:t>
      </w:r>
      <w:r>
        <w:rPr>
          <w:rFonts w:hint="eastAsia" w:cs="仿宋_GB2312"/>
          <w:szCs w:val="32"/>
          <w:lang w:eastAsia="zh-CN"/>
        </w:rPr>
        <w:t>人次；对生态环境改善情况满意以上的为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%。项目生态环境改善情况调查结果见图1</w:t>
      </w:r>
      <w:r>
        <w:rPr>
          <w:rFonts w:cs="仿宋_GB2312"/>
          <w:szCs w:val="32"/>
          <w:lang w:eastAsia="zh-CN"/>
        </w:rPr>
        <w:t>3</w:t>
      </w:r>
      <w:r>
        <w:rPr>
          <w:rFonts w:hint="eastAsia" w:cs="仿宋_GB2312"/>
          <w:szCs w:val="32"/>
          <w:lang w:eastAsia="zh-CN"/>
        </w:rPr>
        <w:t>，满意度占比见图</w:t>
      </w:r>
      <w:r>
        <w:rPr>
          <w:rFonts w:cs="仿宋_GB2312"/>
          <w:szCs w:val="32"/>
          <w:lang w:eastAsia="zh-CN"/>
        </w:rPr>
        <w:t>14</w:t>
      </w:r>
      <w:r>
        <w:rPr>
          <w:rFonts w:hint="eastAsia" w:cs="仿宋_GB2312"/>
          <w:szCs w:val="32"/>
          <w:lang w:eastAsia="zh-CN"/>
        </w:rPr>
        <w:t>。</w:t>
      </w:r>
    </w:p>
    <w:p>
      <w:pPr>
        <w:widowControl w:val="0"/>
        <w:spacing w:line="240" w:lineRule="auto"/>
        <w:ind w:firstLine="0" w:firstLineChars="0"/>
        <w:rPr>
          <w:rFonts w:ascii="仿宋_GB2312" w:hAnsi="仿宋_GB2312" w:eastAsia="仿宋_GB2312" w:cs="仿宋_GB2312"/>
          <w:sz w:val="28"/>
          <w:szCs w:val="28"/>
          <w:lang w:eastAsia="zh-CN"/>
        </w:rPr>
      </w:pPr>
      <w:r>
        <w:drawing>
          <wp:inline distT="0" distB="0" distL="0" distR="0">
            <wp:extent cx="2607310" cy="1885950"/>
            <wp:effectExtent l="0" t="0" r="0" b="0"/>
            <wp:docPr id="99130389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hint="eastAsia" w:ascii="仿宋_GB2312" w:hAnsi="仿宋_GB2312" w:eastAsia="仿宋_GB2312" w:cs="仿宋_GB2312"/>
          <w:sz w:val="28"/>
          <w:szCs w:val="28"/>
          <w:lang w:eastAsia="zh-CN"/>
        </w:rPr>
        <w:t xml:space="preserve"> </w:t>
      </w:r>
      <w:r>
        <w:drawing>
          <wp:inline distT="0" distB="0" distL="0" distR="0">
            <wp:extent cx="2468880" cy="1885315"/>
            <wp:effectExtent l="0" t="0" r="0" b="0"/>
            <wp:docPr id="1437094469" name="图表 1437094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widowControl w:val="0"/>
        <w:spacing w:line="240" w:lineRule="auto"/>
        <w:ind w:firstLine="438" w:firstLineChars="209"/>
        <w:rPr>
          <w:rFonts w:ascii="黑体" w:hAnsi="黑体" w:eastAsia="黑体" w:cs="黑体"/>
          <w:color w:val="000000"/>
          <w:sz w:val="21"/>
          <w:szCs w:val="21"/>
          <w:lang w:val="zh-TW" w:eastAsia="zh-TW" w:bidi="zh-TW"/>
        </w:rPr>
      </w:pPr>
      <w:r>
        <w:rPr>
          <w:rFonts w:hint="eastAsia" w:ascii="黑体" w:hAnsi="黑体" w:eastAsia="黑体" w:cs="黑体"/>
          <w:color w:val="000000"/>
          <w:sz w:val="21"/>
          <w:szCs w:val="21"/>
          <w:lang w:val="zh-TW" w:eastAsia="zh-TW" w:bidi="zh-TW"/>
        </w:rPr>
        <w:t>图1</w:t>
      </w:r>
      <w:r>
        <w:rPr>
          <w:rFonts w:ascii="黑体" w:hAnsi="黑体" w:eastAsia="PMingLiU" w:cs="黑体"/>
          <w:color w:val="000000"/>
          <w:sz w:val="21"/>
          <w:szCs w:val="21"/>
          <w:lang w:val="zh-TW" w:eastAsia="zh-TW" w:bidi="zh-TW"/>
        </w:rPr>
        <w:t xml:space="preserve">3 </w:t>
      </w:r>
      <w:r>
        <w:rPr>
          <w:rFonts w:hint="eastAsia" w:ascii="黑体" w:hAnsi="黑体" w:eastAsia="黑体" w:cs="黑体"/>
          <w:color w:val="000000"/>
          <w:sz w:val="21"/>
          <w:szCs w:val="21"/>
          <w:lang w:val="zh-TW" w:eastAsia="zh-CN" w:bidi="zh-TW"/>
        </w:rPr>
        <w:t>生态环境改善情况</w:t>
      </w:r>
      <w:r>
        <w:rPr>
          <w:rFonts w:hint="eastAsia" w:ascii="黑体" w:hAnsi="黑体" w:eastAsia="黑体" w:cs="黑体"/>
          <w:color w:val="000000"/>
          <w:sz w:val="21"/>
          <w:szCs w:val="21"/>
          <w:lang w:val="zh-TW" w:eastAsia="zh-TW" w:bidi="zh-TW"/>
        </w:rPr>
        <w:t xml:space="preserve">调查结果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图</w:t>
      </w:r>
      <w:r>
        <w:rPr>
          <w:rFonts w:ascii="黑体" w:hAnsi="黑体" w:eastAsia="PMingLiU" w:cs="黑体"/>
          <w:color w:val="000000"/>
          <w:sz w:val="21"/>
          <w:szCs w:val="21"/>
          <w:lang w:val="zh-TW" w:eastAsia="zh-TW" w:bidi="zh-TW"/>
        </w:rPr>
        <w:t>14</w:t>
      </w:r>
      <w:r>
        <w:rPr>
          <w:rFonts w:hint="eastAsia" w:ascii="黑体" w:hAnsi="黑体" w:eastAsia="黑体" w:cs="黑体"/>
          <w:color w:val="000000"/>
          <w:sz w:val="21"/>
          <w:szCs w:val="21"/>
          <w:lang w:val="zh-TW" w:eastAsia="zh-CN" w:bidi="zh-TW"/>
        </w:rPr>
        <w:t xml:space="preserve"> 生态环境改善情况</w:t>
      </w:r>
      <w:r>
        <w:rPr>
          <w:rFonts w:hint="eastAsia" w:ascii="黑体" w:hAnsi="黑体" w:eastAsia="黑体" w:cs="黑体"/>
          <w:color w:val="000000"/>
          <w:sz w:val="21"/>
          <w:szCs w:val="21"/>
          <w:lang w:val="zh-TW" w:eastAsia="zh-TW" w:bidi="zh-TW"/>
        </w:rPr>
        <w:t>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（八）生活水平提升情况满意度</w:t>
      </w:r>
    </w:p>
    <w:p>
      <w:pPr>
        <w:widowControl w:val="0"/>
        <w:ind w:firstLine="640"/>
        <w:rPr>
          <w:rFonts w:cs="仿宋_GB2312"/>
          <w:szCs w:val="32"/>
          <w:lang w:eastAsia="zh-CN"/>
        </w:rPr>
      </w:pPr>
      <w:r>
        <w:rPr>
          <w:rFonts w:hint="eastAsia" w:cs="仿宋_GB2312"/>
          <w:szCs w:val="32"/>
          <w:lang w:eastAsia="zh-CN"/>
        </w:rPr>
        <w:t>问卷中生活水平提升情况调查统计为</w:t>
      </w:r>
      <w:r>
        <w:rPr>
          <w:rFonts w:cs="仿宋_GB2312"/>
          <w:szCs w:val="32"/>
          <w:lang w:eastAsia="zh-CN"/>
        </w:rPr>
        <w:t>100</w:t>
      </w:r>
      <w:r>
        <w:rPr>
          <w:rFonts w:hint="eastAsia" w:cs="仿宋_GB2312"/>
          <w:szCs w:val="32"/>
          <w:lang w:eastAsia="zh-CN"/>
        </w:rPr>
        <w:t>人次；对生活水平提升情况满意以上的为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%。项目生活水平提升情况调查结果见图1</w:t>
      </w:r>
      <w:r>
        <w:rPr>
          <w:rFonts w:cs="仿宋_GB2312"/>
          <w:szCs w:val="32"/>
          <w:lang w:eastAsia="zh-CN"/>
        </w:rPr>
        <w:t>5</w:t>
      </w:r>
      <w:r>
        <w:rPr>
          <w:rFonts w:hint="eastAsia" w:cs="仿宋_GB2312"/>
          <w:szCs w:val="32"/>
          <w:lang w:eastAsia="zh-CN"/>
        </w:rPr>
        <w:t>，满意度占比见图</w:t>
      </w:r>
      <w:r>
        <w:rPr>
          <w:rFonts w:cs="仿宋_GB2312"/>
          <w:szCs w:val="32"/>
          <w:lang w:eastAsia="zh-CN"/>
        </w:rPr>
        <w:t>16</w:t>
      </w:r>
      <w:r>
        <w:rPr>
          <w:rFonts w:hint="eastAsia" w:cs="仿宋_GB2312"/>
          <w:szCs w:val="32"/>
          <w:lang w:eastAsia="zh-CN"/>
        </w:rPr>
        <w:t>。</w:t>
      </w:r>
    </w:p>
    <w:p>
      <w:pPr>
        <w:widowControl w:val="0"/>
        <w:spacing w:line="240" w:lineRule="auto"/>
        <w:ind w:firstLine="0" w:firstLineChars="0"/>
        <w:rPr>
          <w:rFonts w:ascii="仿宋_GB2312" w:hAnsi="仿宋_GB2312" w:eastAsia="仿宋_GB2312" w:cs="仿宋_GB2312"/>
          <w:sz w:val="28"/>
          <w:szCs w:val="28"/>
          <w:lang w:eastAsia="zh-CN"/>
        </w:rPr>
      </w:pPr>
      <w:r>
        <w:drawing>
          <wp:inline distT="0" distB="0" distL="0" distR="0">
            <wp:extent cx="2607310" cy="1885950"/>
            <wp:effectExtent l="0" t="0" r="0" b="0"/>
            <wp:docPr id="16384430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hint="eastAsia" w:ascii="仿宋_GB2312" w:hAnsi="仿宋_GB2312" w:eastAsia="仿宋_GB2312" w:cs="仿宋_GB2312"/>
          <w:sz w:val="28"/>
          <w:szCs w:val="28"/>
          <w:lang w:eastAsia="zh-CN"/>
        </w:rPr>
        <w:t xml:space="preserve"> </w:t>
      </w:r>
      <w:r>
        <w:drawing>
          <wp:inline distT="0" distB="0" distL="0" distR="0">
            <wp:extent cx="2468880" cy="1885315"/>
            <wp:effectExtent l="0" t="0" r="0" b="0"/>
            <wp:docPr id="897005613" name="图表 897005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widowControl w:val="0"/>
        <w:ind w:firstLine="420"/>
        <w:rPr>
          <w:rFonts w:eastAsia="PMingLiU" w:cs="仿宋_GB2312"/>
          <w:szCs w:val="32"/>
          <w:lang w:eastAsia="zh-TW"/>
        </w:rPr>
      </w:pPr>
      <w:r>
        <w:rPr>
          <w:rFonts w:hint="eastAsia" w:ascii="黑体" w:hAnsi="黑体" w:eastAsia="黑体" w:cs="黑体"/>
          <w:color w:val="000000"/>
          <w:sz w:val="21"/>
          <w:szCs w:val="21"/>
          <w:lang w:val="zh-TW" w:eastAsia="zh-TW" w:bidi="zh-TW"/>
        </w:rPr>
        <w:t>图1</w:t>
      </w:r>
      <w:r>
        <w:rPr>
          <w:rFonts w:ascii="黑体" w:hAnsi="黑体" w:eastAsia="PMingLiU" w:cs="黑体"/>
          <w:color w:val="000000"/>
          <w:sz w:val="21"/>
          <w:szCs w:val="21"/>
          <w:lang w:val="zh-TW" w:eastAsia="zh-TW" w:bidi="zh-TW"/>
        </w:rPr>
        <w:t xml:space="preserve">5 </w:t>
      </w:r>
      <w:r>
        <w:rPr>
          <w:rFonts w:hint="eastAsia" w:ascii="黑体" w:hAnsi="黑体" w:eastAsia="黑体" w:cs="黑体"/>
          <w:color w:val="000000"/>
          <w:sz w:val="21"/>
          <w:szCs w:val="21"/>
          <w:lang w:val="zh-TW" w:eastAsia="zh-CN" w:bidi="zh-TW"/>
        </w:rPr>
        <w:t>生活水平提升情况</w:t>
      </w:r>
      <w:r>
        <w:rPr>
          <w:rFonts w:hint="eastAsia" w:ascii="黑体" w:hAnsi="黑体" w:eastAsia="黑体" w:cs="黑体"/>
          <w:color w:val="000000"/>
          <w:sz w:val="21"/>
          <w:szCs w:val="21"/>
          <w:lang w:val="zh-TW" w:eastAsia="zh-TW" w:bidi="zh-TW"/>
        </w:rPr>
        <w:t>调查结果         图</w:t>
      </w:r>
      <w:r>
        <w:rPr>
          <w:rFonts w:ascii="黑体" w:hAnsi="黑体" w:eastAsia="PMingLiU" w:cs="黑体"/>
          <w:color w:val="000000"/>
          <w:sz w:val="21"/>
          <w:szCs w:val="21"/>
          <w:lang w:val="zh-TW" w:eastAsia="zh-TW" w:bidi="zh-TW"/>
        </w:rPr>
        <w:t>16</w:t>
      </w:r>
      <w:r>
        <w:rPr>
          <w:rFonts w:hint="eastAsia" w:ascii="黑体" w:hAnsi="黑体" w:eastAsia="黑体" w:cs="黑体"/>
          <w:color w:val="000000"/>
          <w:sz w:val="21"/>
          <w:szCs w:val="21"/>
          <w:lang w:val="zh-TW" w:eastAsia="zh-CN" w:bidi="zh-TW"/>
        </w:rPr>
        <w:t xml:space="preserve"> 生活水平提升情况</w:t>
      </w:r>
      <w:r>
        <w:rPr>
          <w:rFonts w:hint="eastAsia" w:ascii="黑体" w:hAnsi="黑体" w:eastAsia="黑体" w:cs="黑体"/>
          <w:color w:val="000000"/>
          <w:sz w:val="21"/>
          <w:szCs w:val="21"/>
          <w:lang w:val="zh-TW" w:eastAsia="zh-TW" w:bidi="zh-TW"/>
        </w:rPr>
        <w:t>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（九）文明建设情况满意度</w:t>
      </w:r>
    </w:p>
    <w:p>
      <w:pPr>
        <w:widowControl w:val="0"/>
        <w:ind w:firstLine="640"/>
        <w:rPr>
          <w:rFonts w:cs="仿宋_GB2312"/>
          <w:szCs w:val="32"/>
          <w:lang w:eastAsia="zh-CN"/>
        </w:rPr>
      </w:pPr>
      <w:r>
        <w:rPr>
          <w:rFonts w:hint="eastAsia" w:cs="仿宋_GB2312"/>
          <w:szCs w:val="32"/>
          <w:lang w:eastAsia="zh-CN"/>
        </w:rPr>
        <w:t>问卷中文明建设情况调查统计为</w:t>
      </w:r>
      <w:r>
        <w:rPr>
          <w:rFonts w:cs="仿宋_GB2312"/>
          <w:szCs w:val="32"/>
          <w:lang w:eastAsia="zh-CN"/>
        </w:rPr>
        <w:t>100</w:t>
      </w:r>
      <w:r>
        <w:rPr>
          <w:rFonts w:hint="eastAsia" w:cs="仿宋_GB2312"/>
          <w:szCs w:val="32"/>
          <w:lang w:eastAsia="zh-CN"/>
        </w:rPr>
        <w:t>人次；对文明建设情况满意以上的为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%。项目文明建设情况调查结果见图1</w:t>
      </w:r>
      <w:r>
        <w:rPr>
          <w:rFonts w:cs="仿宋_GB2312"/>
          <w:szCs w:val="32"/>
          <w:lang w:eastAsia="zh-CN"/>
        </w:rPr>
        <w:t>7</w:t>
      </w:r>
      <w:r>
        <w:rPr>
          <w:rFonts w:hint="eastAsia" w:cs="仿宋_GB2312"/>
          <w:szCs w:val="32"/>
          <w:lang w:eastAsia="zh-CN"/>
        </w:rPr>
        <w:t>，满意度占比见图</w:t>
      </w:r>
      <w:r>
        <w:rPr>
          <w:rFonts w:cs="仿宋_GB2312"/>
          <w:szCs w:val="32"/>
          <w:lang w:eastAsia="zh-CN"/>
        </w:rPr>
        <w:t>18</w:t>
      </w:r>
      <w:r>
        <w:rPr>
          <w:rFonts w:hint="eastAsia" w:cs="仿宋_GB2312"/>
          <w:szCs w:val="32"/>
          <w:lang w:eastAsia="zh-CN"/>
        </w:rPr>
        <w:t>。</w:t>
      </w:r>
    </w:p>
    <w:p>
      <w:pPr>
        <w:widowControl w:val="0"/>
        <w:spacing w:line="240" w:lineRule="auto"/>
        <w:ind w:firstLine="0" w:firstLineChars="0"/>
        <w:rPr>
          <w:rFonts w:ascii="仿宋_GB2312" w:hAnsi="仿宋_GB2312" w:eastAsia="仿宋_GB2312" w:cs="仿宋_GB2312"/>
          <w:sz w:val="28"/>
          <w:szCs w:val="28"/>
          <w:lang w:eastAsia="zh-CN"/>
        </w:rPr>
      </w:pPr>
      <w:r>
        <w:drawing>
          <wp:inline distT="0" distB="0" distL="0" distR="0">
            <wp:extent cx="2683510" cy="1885950"/>
            <wp:effectExtent l="0" t="0" r="0" b="0"/>
            <wp:docPr id="26653629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hint="eastAsia" w:ascii="仿宋_GB2312" w:hAnsi="仿宋_GB2312" w:eastAsia="仿宋_GB2312" w:cs="仿宋_GB2312"/>
          <w:sz w:val="28"/>
          <w:szCs w:val="28"/>
          <w:lang w:eastAsia="zh-CN"/>
        </w:rPr>
        <w:t xml:space="preserve"> </w:t>
      </w:r>
      <w:r>
        <w:drawing>
          <wp:inline distT="0" distB="0" distL="0" distR="0">
            <wp:extent cx="2468880" cy="1885315"/>
            <wp:effectExtent l="0" t="0" r="0" b="0"/>
            <wp:docPr id="433368887" name="图表 433368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widowControl w:val="0"/>
        <w:ind w:firstLine="630" w:firstLineChars="300"/>
        <w:rPr>
          <w:rFonts w:eastAsia="PMingLiU" w:cs="仿宋_GB2312"/>
          <w:szCs w:val="32"/>
          <w:lang w:eastAsia="zh-TW"/>
        </w:rPr>
      </w:pPr>
      <w:r>
        <w:rPr>
          <w:rFonts w:hint="eastAsia" w:ascii="黑体" w:hAnsi="黑体" w:eastAsia="黑体" w:cs="黑体"/>
          <w:color w:val="000000"/>
          <w:sz w:val="21"/>
          <w:szCs w:val="21"/>
          <w:lang w:val="zh-TW" w:eastAsia="zh-TW" w:bidi="zh-TW"/>
        </w:rPr>
        <w:t>图1</w:t>
      </w:r>
      <w:r>
        <w:rPr>
          <w:rFonts w:ascii="黑体" w:hAnsi="黑体" w:eastAsia="PMingLiU" w:cs="黑体"/>
          <w:color w:val="000000"/>
          <w:sz w:val="21"/>
          <w:szCs w:val="21"/>
          <w:lang w:val="zh-TW" w:eastAsia="zh-TW" w:bidi="zh-TW"/>
        </w:rPr>
        <w:t xml:space="preserve">7 </w:t>
      </w:r>
      <w:r>
        <w:rPr>
          <w:rFonts w:hint="eastAsia" w:ascii="黑体" w:hAnsi="黑体" w:eastAsia="黑体" w:cs="黑体"/>
          <w:color w:val="000000"/>
          <w:sz w:val="21"/>
          <w:szCs w:val="21"/>
          <w:lang w:val="zh-TW" w:eastAsia="zh-CN" w:bidi="zh-TW"/>
        </w:rPr>
        <w:t>文明建设情况</w:t>
      </w:r>
      <w:r>
        <w:rPr>
          <w:rFonts w:hint="eastAsia" w:ascii="黑体" w:hAnsi="黑体" w:eastAsia="黑体" w:cs="黑体"/>
          <w:color w:val="000000"/>
          <w:sz w:val="21"/>
          <w:szCs w:val="21"/>
          <w:lang w:val="zh-TW" w:eastAsia="zh-TW" w:bidi="zh-TW"/>
        </w:rPr>
        <w:t xml:space="preserve">调查结果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 xml:space="preserve"> 图</w:t>
      </w:r>
      <w:r>
        <w:rPr>
          <w:rFonts w:ascii="黑体" w:hAnsi="黑体" w:eastAsia="PMingLiU" w:cs="黑体"/>
          <w:color w:val="000000"/>
          <w:sz w:val="21"/>
          <w:szCs w:val="21"/>
          <w:lang w:val="zh-TW" w:eastAsia="zh-TW" w:bidi="zh-TW"/>
        </w:rPr>
        <w:t>18</w:t>
      </w:r>
      <w:r>
        <w:rPr>
          <w:rFonts w:hint="eastAsia" w:ascii="黑体" w:hAnsi="黑体" w:eastAsia="黑体" w:cs="黑体"/>
          <w:color w:val="000000"/>
          <w:sz w:val="21"/>
          <w:szCs w:val="21"/>
          <w:lang w:val="zh-TW" w:eastAsia="zh-CN" w:bidi="zh-TW"/>
        </w:rPr>
        <w:t xml:space="preserve"> 文明建设情况</w:t>
      </w:r>
      <w:r>
        <w:rPr>
          <w:rFonts w:hint="eastAsia" w:ascii="黑体" w:hAnsi="黑体" w:eastAsia="黑体" w:cs="黑体"/>
          <w:color w:val="000000"/>
          <w:sz w:val="21"/>
          <w:szCs w:val="21"/>
          <w:lang w:val="zh-TW" w:eastAsia="zh-TW" w:bidi="zh-TW"/>
        </w:rPr>
        <w:t>满意度比例</w:t>
      </w:r>
    </w:p>
    <w:p>
      <w:pPr>
        <w:widowControl w:val="0"/>
        <w:ind w:firstLine="643"/>
        <w:rPr>
          <w:rFonts w:ascii="楷体" w:hAnsi="楷体" w:eastAsia="楷体" w:cs="仿宋_GB2312"/>
          <w:b/>
          <w:szCs w:val="32"/>
          <w:lang w:eastAsia="zh-CN"/>
        </w:rPr>
      </w:pPr>
      <w:r>
        <w:rPr>
          <w:rFonts w:hint="eastAsia" w:ascii="楷体" w:hAnsi="楷体" w:eastAsia="楷体" w:cs="仿宋_GB2312"/>
          <w:b/>
          <w:szCs w:val="32"/>
          <w:lang w:eastAsia="zh-CN"/>
        </w:rPr>
        <w:t>（十）总体情况满意度</w:t>
      </w:r>
    </w:p>
    <w:p>
      <w:pPr>
        <w:widowControl w:val="0"/>
        <w:ind w:firstLine="640"/>
        <w:rPr>
          <w:rFonts w:cs="仿宋_GB2312"/>
          <w:szCs w:val="32"/>
          <w:lang w:eastAsia="zh-CN"/>
        </w:rPr>
      </w:pPr>
      <w:r>
        <w:rPr>
          <w:rFonts w:hint="eastAsia" w:cs="仿宋_GB2312"/>
          <w:szCs w:val="32"/>
          <w:lang w:eastAsia="zh-CN"/>
        </w:rPr>
        <w:t>问卷中总体情况调查统计为</w:t>
      </w:r>
      <w:r>
        <w:rPr>
          <w:rFonts w:cs="仿宋_GB2312"/>
          <w:szCs w:val="32"/>
          <w:lang w:eastAsia="zh-CN"/>
        </w:rPr>
        <w:t>100</w:t>
      </w:r>
      <w:r>
        <w:rPr>
          <w:rFonts w:hint="eastAsia" w:cs="仿宋_GB2312"/>
          <w:szCs w:val="32"/>
          <w:lang w:eastAsia="zh-CN"/>
        </w:rPr>
        <w:t>人次；对总体情况满意以上的为</w:t>
      </w:r>
      <w:r>
        <w:rPr>
          <w:rFonts w:cs="仿宋_GB2312"/>
          <w:szCs w:val="32"/>
          <w:lang w:eastAsia="zh-CN"/>
        </w:rPr>
        <w:t>100</w:t>
      </w:r>
      <w:r>
        <w:rPr>
          <w:rFonts w:hint="eastAsia" w:cs="仿宋_GB2312"/>
          <w:szCs w:val="32"/>
          <w:lang w:eastAsia="zh-CN"/>
        </w:rPr>
        <w:t>人次，占比</w:t>
      </w:r>
      <w:r>
        <w:rPr>
          <w:rFonts w:cs="仿宋_GB2312"/>
          <w:szCs w:val="32"/>
          <w:lang w:eastAsia="zh-CN"/>
        </w:rPr>
        <w:t>100</w:t>
      </w:r>
      <w:r>
        <w:rPr>
          <w:rFonts w:hint="eastAsia" w:cs="仿宋_GB2312"/>
          <w:szCs w:val="32"/>
          <w:lang w:eastAsia="zh-CN"/>
        </w:rPr>
        <w:t>%。项目总体情况调查结果见图1</w:t>
      </w:r>
      <w:r>
        <w:rPr>
          <w:rFonts w:cs="仿宋_GB2312"/>
          <w:szCs w:val="32"/>
          <w:lang w:eastAsia="zh-CN"/>
        </w:rPr>
        <w:t>9</w:t>
      </w:r>
      <w:r>
        <w:rPr>
          <w:rFonts w:hint="eastAsia" w:cs="仿宋_GB2312"/>
          <w:szCs w:val="32"/>
          <w:lang w:eastAsia="zh-CN"/>
        </w:rPr>
        <w:t>，满意度占比见图</w:t>
      </w:r>
      <w:r>
        <w:rPr>
          <w:rFonts w:cs="仿宋_GB2312"/>
          <w:szCs w:val="32"/>
          <w:lang w:eastAsia="zh-CN"/>
        </w:rPr>
        <w:t>20</w:t>
      </w:r>
      <w:r>
        <w:rPr>
          <w:rFonts w:hint="eastAsia" w:cs="仿宋_GB2312"/>
          <w:szCs w:val="32"/>
          <w:lang w:eastAsia="zh-CN"/>
        </w:rPr>
        <w:t>。</w:t>
      </w:r>
    </w:p>
    <w:p>
      <w:pPr>
        <w:widowControl w:val="0"/>
        <w:spacing w:line="240" w:lineRule="auto"/>
        <w:ind w:firstLine="0" w:firstLineChars="0"/>
        <w:rPr>
          <w:rFonts w:ascii="仿宋_GB2312" w:hAnsi="仿宋_GB2312" w:eastAsia="仿宋_GB2312" w:cs="仿宋_GB2312"/>
          <w:sz w:val="28"/>
          <w:szCs w:val="28"/>
          <w:lang w:eastAsia="zh-CN"/>
        </w:rPr>
      </w:pPr>
      <w:r>
        <w:drawing>
          <wp:inline distT="0" distB="0" distL="0" distR="0">
            <wp:extent cx="2548255" cy="1962150"/>
            <wp:effectExtent l="0" t="0" r="0" b="0"/>
            <wp:docPr id="6120341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hint="eastAsia" w:ascii="仿宋_GB2312" w:hAnsi="仿宋_GB2312" w:eastAsia="仿宋_GB2312" w:cs="仿宋_GB2312"/>
          <w:sz w:val="28"/>
          <w:szCs w:val="28"/>
          <w:lang w:eastAsia="zh-CN"/>
        </w:rPr>
        <w:t xml:space="preserve"> </w:t>
      </w:r>
      <w:r>
        <w:drawing>
          <wp:inline distT="0" distB="0" distL="0" distR="0">
            <wp:extent cx="2468880" cy="1923415"/>
            <wp:effectExtent l="0" t="0" r="0" b="0"/>
            <wp:docPr id="2136035730" name="图表 2136035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widowControl w:val="0"/>
        <w:ind w:firstLine="840" w:firstLineChars="400"/>
        <w:rPr>
          <w:rFonts w:eastAsia="PMingLiU" w:cs="仿宋_GB2312"/>
          <w:szCs w:val="32"/>
          <w:lang w:eastAsia="zh-TW"/>
        </w:rPr>
      </w:pPr>
      <w:r>
        <w:rPr>
          <w:rFonts w:hint="eastAsia" w:ascii="黑体" w:hAnsi="黑体" w:eastAsia="黑体" w:cs="黑体"/>
          <w:color w:val="000000"/>
          <w:sz w:val="21"/>
          <w:szCs w:val="21"/>
          <w:lang w:val="zh-TW" w:eastAsia="zh-TW" w:bidi="zh-TW"/>
        </w:rPr>
        <w:t>图1</w:t>
      </w:r>
      <w:r>
        <w:rPr>
          <w:rFonts w:ascii="黑体" w:hAnsi="黑体" w:eastAsia="PMingLiU" w:cs="黑体"/>
          <w:color w:val="000000"/>
          <w:sz w:val="21"/>
          <w:szCs w:val="21"/>
          <w:lang w:val="zh-TW" w:eastAsia="zh-TW" w:bidi="zh-TW"/>
        </w:rPr>
        <w:t xml:space="preserve">9 </w:t>
      </w:r>
      <w:r>
        <w:rPr>
          <w:rFonts w:hint="eastAsia" w:ascii="黑体" w:hAnsi="黑体" w:eastAsia="黑体" w:cs="黑体"/>
          <w:color w:val="000000"/>
          <w:sz w:val="21"/>
          <w:szCs w:val="21"/>
          <w:lang w:val="zh-TW" w:eastAsia="zh-CN" w:bidi="zh-TW"/>
        </w:rPr>
        <w:t>总体情况</w:t>
      </w:r>
      <w:r>
        <w:rPr>
          <w:rFonts w:hint="eastAsia" w:ascii="黑体" w:hAnsi="黑体" w:eastAsia="黑体" w:cs="黑体"/>
          <w:color w:val="000000"/>
          <w:sz w:val="21"/>
          <w:szCs w:val="21"/>
          <w:lang w:val="zh-TW" w:eastAsia="zh-TW" w:bidi="zh-TW"/>
        </w:rPr>
        <w:t xml:space="preserve">调查结果        </w:t>
      </w:r>
      <w:r>
        <w:rPr>
          <w:rFonts w:ascii="黑体" w:hAnsi="黑体" w:eastAsia="PMingLiU" w:cs="黑体"/>
          <w:color w:val="000000"/>
          <w:sz w:val="21"/>
          <w:szCs w:val="21"/>
          <w:lang w:val="zh-TW" w:eastAsia="zh-TW" w:bidi="zh-TW"/>
        </w:rPr>
        <w:t xml:space="preserve">        </w:t>
      </w:r>
      <w:r>
        <w:rPr>
          <w:rFonts w:hint="eastAsia" w:ascii="黑体" w:hAnsi="黑体" w:eastAsia="黑体" w:cs="黑体"/>
          <w:color w:val="000000"/>
          <w:sz w:val="21"/>
          <w:szCs w:val="21"/>
          <w:lang w:val="zh-TW" w:eastAsia="zh-TW" w:bidi="zh-TW"/>
        </w:rPr>
        <w:t xml:space="preserve"> 图</w:t>
      </w:r>
      <w:r>
        <w:rPr>
          <w:rFonts w:ascii="黑体" w:hAnsi="黑体" w:eastAsia="PMingLiU" w:cs="黑体"/>
          <w:color w:val="000000"/>
          <w:sz w:val="21"/>
          <w:szCs w:val="21"/>
          <w:lang w:val="zh-TW" w:eastAsia="zh-TW" w:bidi="zh-TW"/>
        </w:rPr>
        <w:t>20</w:t>
      </w:r>
      <w:r>
        <w:rPr>
          <w:rFonts w:hint="eastAsia" w:ascii="黑体" w:hAnsi="黑体" w:eastAsia="黑体" w:cs="黑体"/>
          <w:color w:val="000000"/>
          <w:sz w:val="21"/>
          <w:szCs w:val="21"/>
          <w:lang w:val="zh-TW" w:eastAsia="zh-CN" w:bidi="zh-TW"/>
        </w:rPr>
        <w:t xml:space="preserve"> 总体情况</w:t>
      </w:r>
      <w:r>
        <w:rPr>
          <w:rFonts w:hint="eastAsia" w:ascii="黑体" w:hAnsi="黑体" w:eastAsia="黑体" w:cs="黑体"/>
          <w:color w:val="000000"/>
          <w:sz w:val="21"/>
          <w:szCs w:val="21"/>
          <w:lang w:val="zh-TW" w:eastAsia="zh-TW" w:bidi="zh-TW"/>
        </w:rPr>
        <w:t>满意度比例</w:t>
      </w:r>
    </w:p>
    <w:p>
      <w:pPr>
        <w:widowControl w:val="0"/>
        <w:ind w:firstLine="640"/>
        <w:rPr>
          <w:rFonts w:cs="仿宋_GB2312"/>
          <w:szCs w:val="32"/>
          <w:lang w:eastAsia="zh-CN"/>
        </w:rPr>
      </w:pPr>
      <w:r>
        <w:rPr>
          <w:rFonts w:hint="eastAsia" w:cs="仿宋_GB2312"/>
          <w:szCs w:val="32"/>
          <w:lang w:eastAsia="zh-CN"/>
        </w:rPr>
        <w:t>根据上述分析可见，项目综合满意度较高，所有满意选项占比均在</w:t>
      </w:r>
      <w:r>
        <w:rPr>
          <w:rFonts w:cs="仿宋_GB2312"/>
          <w:szCs w:val="32"/>
          <w:lang w:eastAsia="zh-CN"/>
        </w:rPr>
        <w:t>100</w:t>
      </w:r>
      <w:r>
        <w:rPr>
          <w:rFonts w:hint="eastAsia" w:cs="仿宋_GB2312"/>
          <w:szCs w:val="32"/>
          <w:lang w:eastAsia="zh-CN"/>
        </w:rPr>
        <w:t>%。对比问卷回收结果不难发现，项目区村民对此次改造比较满意，满意度居前（即选项非常满意、比较满意）的人数较多。这说明此项目主管单位在施工时及时与项目区村民的沟通与协调，使相关利益人员充分理解和支持项目的开展。</w:t>
      </w:r>
    </w:p>
    <w:bookmarkEnd w:id="192"/>
    <w:bookmarkEnd w:id="193"/>
    <w:p>
      <w:pPr>
        <w:widowControl w:val="0"/>
        <w:spacing w:line="240" w:lineRule="auto"/>
        <w:ind w:firstLine="0" w:firstLineChars="0"/>
        <w:jc w:val="left"/>
        <w:rPr>
          <w:rFonts w:ascii="黑体" w:hAnsi="黑体" w:eastAsia="黑体"/>
          <w:lang w:eastAsia="zh-CN"/>
        </w:rPr>
      </w:pPr>
    </w:p>
    <w:p>
      <w:pPr>
        <w:pStyle w:val="58"/>
        <w:widowControl w:val="0"/>
        <w:rPr>
          <w:rFonts w:ascii="黑体" w:hAnsi="黑体" w:eastAsia="黑体"/>
          <w:sz w:val="32"/>
          <w:szCs w:val="32"/>
        </w:rPr>
      </w:pPr>
      <w:r>
        <w:rPr>
          <w:rFonts w:ascii="黑体" w:hAnsi="黑体" w:eastAsia="黑体"/>
          <w:sz w:val="32"/>
          <w:szCs w:val="32"/>
        </w:rPr>
        <w:t xml:space="preserve">附件5 </w:t>
      </w:r>
      <w:r>
        <w:rPr>
          <w:rFonts w:hint="eastAsia" w:ascii="黑体" w:hAnsi="黑体" w:eastAsia="黑体"/>
          <w:sz w:val="32"/>
          <w:szCs w:val="32"/>
        </w:rPr>
        <w:t>影像资料</w:t>
      </w:r>
    </w:p>
    <w:p>
      <w:pPr>
        <w:pStyle w:val="2"/>
        <w:widowControl w:val="0"/>
        <w:ind w:left="0" w:leftChars="0" w:firstLine="0" w:firstLineChars="0"/>
        <w:rPr>
          <w:rFonts w:ascii="黑体" w:hAnsi="黑体" w:eastAsia="黑体"/>
          <w:sz w:val="21"/>
          <w:szCs w:val="21"/>
          <w:lang w:eastAsia="zh-CN"/>
        </w:rPr>
      </w:pPr>
    </w:p>
    <w:p>
      <w:pPr>
        <w:pStyle w:val="2"/>
        <w:widowControl w:val="0"/>
        <w:ind w:left="0" w:leftChars="0" w:firstLine="0" w:firstLineChars="0"/>
        <w:rPr>
          <w:rFonts w:ascii="黑体" w:hAnsi="黑体" w:eastAsia="黑体"/>
          <w:sz w:val="21"/>
          <w:szCs w:val="21"/>
          <w:lang w:eastAsia="zh-CN"/>
        </w:rPr>
      </w:pPr>
      <w:r>
        <w:rPr>
          <w:rFonts w:hint="eastAsia" w:ascii="黑体" w:hAnsi="黑体" w:eastAsia="黑体"/>
          <w:sz w:val="21"/>
          <w:szCs w:val="21"/>
          <w:lang w:eastAsia="zh-CN"/>
        </w:rPr>
        <w:drawing>
          <wp:inline distT="0" distB="0" distL="0" distR="0">
            <wp:extent cx="2519680" cy="2087880"/>
            <wp:effectExtent l="0" t="0" r="0" b="0"/>
            <wp:docPr id="37283539" name="图片 1"/>
            <wp:cNvGraphicFramePr/>
            <a:graphic xmlns:a="http://schemas.openxmlformats.org/drawingml/2006/main">
              <a:graphicData uri="http://schemas.openxmlformats.org/drawingml/2006/picture">
                <pic:pic xmlns:pic="http://schemas.openxmlformats.org/drawingml/2006/picture">
                  <pic:nvPicPr>
                    <pic:cNvPr id="37283539" name="图片 1"/>
                    <pic:cNvPicPr/>
                  </pic:nvPicPr>
                  <pic:blipFill>
                    <a:blip r:embed="rId34"/>
                    <a:stretch>
                      <a:fillRect/>
                    </a:stretch>
                  </pic:blipFill>
                  <pic:spPr>
                    <a:xfrm>
                      <a:off x="0" y="0"/>
                      <a:ext cx="2520000" cy="2088000"/>
                    </a:xfrm>
                    <a:prstGeom prst="rect">
                      <a:avLst/>
                    </a:prstGeom>
                  </pic:spPr>
                </pic:pic>
              </a:graphicData>
            </a:graphic>
          </wp:inline>
        </w:drawing>
      </w:r>
      <w:r>
        <w:rPr>
          <w:rFonts w:hint="eastAsia" w:ascii="黑体" w:hAnsi="黑体" w:eastAsia="黑体"/>
          <w:sz w:val="21"/>
          <w:szCs w:val="21"/>
          <w:lang w:eastAsia="zh-CN"/>
        </w:rPr>
        <w:t xml:space="preserve"> </w:t>
      </w:r>
      <w:r>
        <w:rPr>
          <w:rFonts w:hint="eastAsia" w:ascii="黑体" w:hAnsi="黑体" w:eastAsia="黑体"/>
          <w:sz w:val="21"/>
          <w:szCs w:val="21"/>
          <w:lang w:eastAsia="zh-CN"/>
        </w:rPr>
        <w:drawing>
          <wp:inline distT="0" distB="0" distL="0" distR="0">
            <wp:extent cx="2519680" cy="2087880"/>
            <wp:effectExtent l="0" t="0" r="0" b="0"/>
            <wp:docPr id="146029915" name="图片 2"/>
            <wp:cNvGraphicFramePr/>
            <a:graphic xmlns:a="http://schemas.openxmlformats.org/drawingml/2006/main">
              <a:graphicData uri="http://schemas.openxmlformats.org/drawingml/2006/picture">
                <pic:pic xmlns:pic="http://schemas.openxmlformats.org/drawingml/2006/picture">
                  <pic:nvPicPr>
                    <pic:cNvPr id="146029915" name="图片 2"/>
                    <pic:cNvPicPr/>
                  </pic:nvPicPr>
                  <pic:blipFill>
                    <a:blip r:embed="rId35"/>
                    <a:stretch>
                      <a:fillRect/>
                    </a:stretch>
                  </pic:blipFill>
                  <pic:spPr>
                    <a:xfrm>
                      <a:off x="0" y="0"/>
                      <a:ext cx="2519680" cy="2088000"/>
                    </a:xfrm>
                    <a:prstGeom prst="rect">
                      <a:avLst/>
                    </a:prstGeom>
                  </pic:spPr>
                </pic:pic>
              </a:graphicData>
            </a:graphic>
          </wp:inline>
        </w:drawing>
      </w:r>
    </w:p>
    <w:p>
      <w:pPr>
        <w:pStyle w:val="2"/>
        <w:widowControl w:val="0"/>
        <w:spacing w:after="0" w:line="180" w:lineRule="exact"/>
        <w:ind w:left="0" w:leftChars="0" w:firstLine="0" w:firstLineChars="0"/>
        <w:rPr>
          <w:rFonts w:ascii="黑体" w:hAnsi="黑体" w:eastAsia="黑体"/>
          <w:sz w:val="21"/>
          <w:szCs w:val="21"/>
          <w:lang w:eastAsia="zh-CN"/>
        </w:rPr>
      </w:pPr>
    </w:p>
    <w:p>
      <w:pPr>
        <w:pStyle w:val="2"/>
        <w:widowControl w:val="0"/>
        <w:ind w:left="0" w:leftChars="0" w:firstLine="0" w:firstLineChars="0"/>
        <w:rPr>
          <w:rFonts w:ascii="黑体" w:hAnsi="黑体" w:eastAsia="黑体"/>
          <w:sz w:val="21"/>
          <w:szCs w:val="21"/>
          <w:lang w:eastAsia="zh-CN"/>
        </w:rPr>
      </w:pPr>
      <w:r>
        <w:rPr>
          <w:rFonts w:hint="eastAsia" w:ascii="黑体" w:hAnsi="黑体" w:eastAsia="黑体"/>
          <w:sz w:val="21"/>
          <w:szCs w:val="21"/>
          <w:lang w:eastAsia="zh-CN"/>
        </w:rPr>
        <w:drawing>
          <wp:inline distT="0" distB="0" distL="0" distR="0">
            <wp:extent cx="2519680" cy="2087880"/>
            <wp:effectExtent l="0" t="0" r="0" b="0"/>
            <wp:docPr id="1642816312" name="图片 3"/>
            <wp:cNvGraphicFramePr/>
            <a:graphic xmlns:a="http://schemas.openxmlformats.org/drawingml/2006/main">
              <a:graphicData uri="http://schemas.openxmlformats.org/drawingml/2006/picture">
                <pic:pic xmlns:pic="http://schemas.openxmlformats.org/drawingml/2006/picture">
                  <pic:nvPicPr>
                    <pic:cNvPr id="1642816312" name="图片 3"/>
                    <pic:cNvPicPr/>
                  </pic:nvPicPr>
                  <pic:blipFill>
                    <a:blip r:embed="rId36"/>
                    <a:stretch>
                      <a:fillRect/>
                    </a:stretch>
                  </pic:blipFill>
                  <pic:spPr>
                    <a:xfrm>
                      <a:off x="0" y="0"/>
                      <a:ext cx="2520000" cy="2088000"/>
                    </a:xfrm>
                    <a:prstGeom prst="rect">
                      <a:avLst/>
                    </a:prstGeom>
                  </pic:spPr>
                </pic:pic>
              </a:graphicData>
            </a:graphic>
          </wp:inline>
        </w:drawing>
      </w:r>
      <w:r>
        <w:rPr>
          <w:rFonts w:hint="eastAsia" w:ascii="黑体" w:hAnsi="黑体" w:eastAsia="黑体"/>
          <w:sz w:val="21"/>
          <w:szCs w:val="21"/>
          <w:lang w:eastAsia="zh-CN"/>
        </w:rPr>
        <w:t xml:space="preserve"> </w:t>
      </w:r>
      <w:r>
        <w:rPr>
          <w:rFonts w:hint="eastAsia" w:ascii="黑体" w:hAnsi="黑体" w:eastAsia="黑体"/>
          <w:sz w:val="21"/>
          <w:szCs w:val="21"/>
          <w:lang w:eastAsia="zh-CN"/>
        </w:rPr>
        <w:drawing>
          <wp:inline distT="0" distB="0" distL="0" distR="0">
            <wp:extent cx="2519680" cy="2087880"/>
            <wp:effectExtent l="0" t="0" r="0" b="0"/>
            <wp:docPr id="2019276273" name="图片 4"/>
            <wp:cNvGraphicFramePr/>
            <a:graphic xmlns:a="http://schemas.openxmlformats.org/drawingml/2006/main">
              <a:graphicData uri="http://schemas.openxmlformats.org/drawingml/2006/picture">
                <pic:pic xmlns:pic="http://schemas.openxmlformats.org/drawingml/2006/picture">
                  <pic:nvPicPr>
                    <pic:cNvPr id="2019276273" name="图片 4"/>
                    <pic:cNvPicPr/>
                  </pic:nvPicPr>
                  <pic:blipFill>
                    <a:blip r:embed="rId37"/>
                    <a:stretch>
                      <a:fillRect/>
                    </a:stretch>
                  </pic:blipFill>
                  <pic:spPr>
                    <a:xfrm>
                      <a:off x="0" y="0"/>
                      <a:ext cx="2520000" cy="2088000"/>
                    </a:xfrm>
                    <a:prstGeom prst="rect">
                      <a:avLst/>
                    </a:prstGeom>
                  </pic:spPr>
                </pic:pic>
              </a:graphicData>
            </a:graphic>
          </wp:inline>
        </w:drawing>
      </w:r>
    </w:p>
    <w:p>
      <w:pPr>
        <w:pStyle w:val="2"/>
        <w:widowControl w:val="0"/>
        <w:spacing w:after="0" w:line="240" w:lineRule="exact"/>
        <w:ind w:left="0" w:leftChars="0" w:firstLine="0" w:firstLineChars="0"/>
        <w:rPr>
          <w:rFonts w:ascii="黑体" w:hAnsi="黑体" w:eastAsia="黑体"/>
          <w:sz w:val="21"/>
          <w:szCs w:val="21"/>
          <w:lang w:eastAsia="zh-CN"/>
        </w:rPr>
      </w:pPr>
      <w:r>
        <w:rPr>
          <w:rFonts w:hint="eastAsia" w:ascii="黑体" w:hAnsi="黑体" w:eastAsia="黑体"/>
          <w:sz w:val="21"/>
          <w:szCs w:val="21"/>
          <w:lang w:eastAsia="zh-CN"/>
        </w:rPr>
        <w:drawing>
          <wp:anchor distT="0" distB="0" distL="114300" distR="114300" simplePos="0" relativeHeight="251660288" behindDoc="0" locked="0" layoutInCell="1" allowOverlap="1">
            <wp:simplePos x="0" y="0"/>
            <wp:positionH relativeFrom="column">
              <wp:posOffset>2632710</wp:posOffset>
            </wp:positionH>
            <wp:positionV relativeFrom="paragraph">
              <wp:posOffset>177165</wp:posOffset>
            </wp:positionV>
            <wp:extent cx="2520315" cy="2087880"/>
            <wp:effectExtent l="0" t="0" r="0" b="0"/>
            <wp:wrapSquare wrapText="bothSides"/>
            <wp:docPr id="826503137" name="图片 7"/>
            <wp:cNvGraphicFramePr/>
            <a:graphic xmlns:a="http://schemas.openxmlformats.org/drawingml/2006/main">
              <a:graphicData uri="http://schemas.openxmlformats.org/drawingml/2006/picture">
                <pic:pic xmlns:pic="http://schemas.openxmlformats.org/drawingml/2006/picture">
                  <pic:nvPicPr>
                    <pic:cNvPr id="826503137" name="图片 7"/>
                    <pic:cNvPicPr/>
                  </pic:nvPicPr>
                  <pic:blipFill>
                    <a:blip r:embed="rId38"/>
                    <a:stretch>
                      <a:fillRect/>
                    </a:stretch>
                  </pic:blipFill>
                  <pic:spPr>
                    <a:xfrm>
                      <a:off x="0" y="0"/>
                      <a:ext cx="2520000" cy="2088000"/>
                    </a:xfrm>
                    <a:prstGeom prst="rect">
                      <a:avLst/>
                    </a:prstGeom>
                  </pic:spPr>
                </pic:pic>
              </a:graphicData>
            </a:graphic>
          </wp:anchor>
        </w:drawing>
      </w:r>
    </w:p>
    <w:p>
      <w:pPr>
        <w:pStyle w:val="2"/>
        <w:widowControl w:val="0"/>
        <w:spacing w:after="0" w:line="240" w:lineRule="exact"/>
        <w:ind w:left="0" w:leftChars="0" w:firstLine="0" w:firstLineChars="0"/>
        <w:rPr>
          <w:rFonts w:ascii="黑体" w:hAnsi="黑体" w:eastAsia="黑体"/>
          <w:sz w:val="21"/>
          <w:szCs w:val="21"/>
          <w:lang w:eastAsia="zh-CN"/>
        </w:rPr>
      </w:pPr>
      <w:r>
        <w:rPr>
          <w:rFonts w:hint="eastAsia" w:ascii="黑体" w:hAnsi="黑体" w:eastAsia="黑体"/>
          <w:sz w:val="21"/>
          <w:szCs w:val="21"/>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25400</wp:posOffset>
            </wp:positionV>
            <wp:extent cx="2520315" cy="2087880"/>
            <wp:effectExtent l="0" t="0" r="0" b="0"/>
            <wp:wrapSquare wrapText="bothSides"/>
            <wp:docPr id="2074701503" name="图片 6"/>
            <wp:cNvGraphicFramePr/>
            <a:graphic xmlns:a="http://schemas.openxmlformats.org/drawingml/2006/main">
              <a:graphicData uri="http://schemas.openxmlformats.org/drawingml/2006/picture">
                <pic:pic xmlns:pic="http://schemas.openxmlformats.org/drawingml/2006/picture">
                  <pic:nvPicPr>
                    <pic:cNvPr id="2074701503" name="图片 6"/>
                    <pic:cNvPicPr/>
                  </pic:nvPicPr>
                  <pic:blipFill>
                    <a:blip r:embed="rId39"/>
                    <a:stretch>
                      <a:fillRect/>
                    </a:stretch>
                  </pic:blipFill>
                  <pic:spPr>
                    <a:xfrm>
                      <a:off x="0" y="0"/>
                      <a:ext cx="2520000" cy="2088000"/>
                    </a:xfrm>
                    <a:prstGeom prst="rect">
                      <a:avLst/>
                    </a:prstGeom>
                  </pic:spPr>
                </pic:pic>
              </a:graphicData>
            </a:graphic>
          </wp:anchor>
        </w:drawing>
      </w:r>
    </w:p>
    <w:sectPr>
      <w:pgSz w:w="11906" w:h="16838"/>
      <w:pgMar w:top="1440" w:right="1800" w:bottom="1440" w:left="1800" w:header="720" w:footer="720"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onospace">
    <w:altName w:val="Arial"/>
    <w:panose1 w:val="00000000000000000000"/>
    <w:charset w:val="00"/>
    <w:family w:val="auto"/>
    <w:pitch w:val="default"/>
    <w:sig w:usb0="00000000" w:usb1="00000000" w:usb2="00000000" w:usb3="00000000" w:csb0="00000000" w:csb1="00000000"/>
  </w:font>
  <w:font w:name="方正小标宋简体">
    <w:altName w:val="黑体"/>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rPr>
        <w:lang w:eastAsia="zh-CN"/>
      </w:rPr>
    </w:pPr>
    <w:r>
      <w:pict>
        <v:shape id="_x0000_s3073" o:spid="_x0000_s3073" o:spt="202" type="#_x0000_t202" style="position:absolute;left:0pt;margin-top:0pt;height:23.35pt;width:74.35pt;mso-position-horizontal:center;mso-position-horizontal-relative:margin;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nj8kMaAgAAIQQAAA4AAAAAAAAAAQAgAAAANQEAAGRycy9lMm9Eb2MueG1sUEsFBgAA&#10;AAAGAAYAWQEAAMEFAAAAAA==&#10;">
          <v:path/>
          <v:fill on="f" focussize="0,0"/>
          <v:stroke on="f" weight="0.5pt" joinstyle="miter"/>
          <v:imagedata o:title=""/>
          <o:lock v:ext="edit"/>
          <v:textbox inset="0mm,0mm,0mm,0mm" style="mso-fit-shape-to-text:t;">
            <w:txbxContent>
              <w:p>
                <w:pPr>
                  <w:pStyle w:val="15"/>
                  <w:ind w:firstLine="48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- 63 -</w:t>
                </w:r>
                <w:r>
                  <w:rPr>
                    <w:sz w:val="24"/>
                    <w:szCs w:val="24"/>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EA7C3"/>
    <w:multiLevelType w:val="singleLevel"/>
    <w:tmpl w:val="C76EA7C3"/>
    <w:lvl w:ilvl="0" w:tentative="0">
      <w:start w:val="1"/>
      <w:numFmt w:val="chineseCounting"/>
      <w:suff w:val="nothing"/>
      <w:lvlText w:val="%1、"/>
      <w:lvlJc w:val="left"/>
      <w:rPr>
        <w:rFonts w:hint="eastAsia"/>
        <w:lang w:val="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800"/>
  <w:displayHorizontalDrawingGridEvery w:val="0"/>
  <w:displayVerticalDrawingGridEvery w:val="2"/>
  <w:characterSpacingControl w:val="doNotCompress"/>
  <w:hdrShapeDefaults>
    <o:shapelayout v:ext="edit">
      <o:idmap v:ext="edit" data="1,3"/>
    </o:shapelayout>
  </w:hdrShapeDefaults>
  <w:footnotePr>
    <w:footnote w:id="0"/>
    <w:footnote w:id="1"/>
  </w:footnotePr>
  <w:endnotePr>
    <w:endnote w:id="0"/>
    <w:endnote w:id="1"/>
  </w:endnotePr>
  <w:compat>
    <w:balanceSingleByteDoubleByteWidth/>
    <w:doNotExpandShiftReturn/>
    <w:adjustLineHeightInTable/>
    <w:useFELayout/>
    <w:doNotUseIndentAsNumberingTabStop/>
    <w:useAltKinsokuLineBreakRules/>
    <w:compatSetting w:name="compatibilityMode" w:uri="http://schemas.microsoft.com/office/word" w:val="12"/>
  </w:compat>
  <w:docVars>
    <w:docVar w:name="commondata" w:val="eyJoZGlkIjoiOGE5OTNjNGU1MWU0ZmQ5ZmZkMmE3ZTU2Nzk5OGMyZGIifQ=="/>
  </w:docVars>
  <w:rsids>
    <w:rsidRoot w:val="00185822"/>
    <w:rsid w:val="000001EE"/>
    <w:rsid w:val="00002EC1"/>
    <w:rsid w:val="000040AB"/>
    <w:rsid w:val="000102EE"/>
    <w:rsid w:val="00010703"/>
    <w:rsid w:val="0001571C"/>
    <w:rsid w:val="00016A9C"/>
    <w:rsid w:val="00021336"/>
    <w:rsid w:val="000225D4"/>
    <w:rsid w:val="00022905"/>
    <w:rsid w:val="00024314"/>
    <w:rsid w:val="000254B6"/>
    <w:rsid w:val="00025A1D"/>
    <w:rsid w:val="0003162F"/>
    <w:rsid w:val="000338CD"/>
    <w:rsid w:val="00034348"/>
    <w:rsid w:val="00040F60"/>
    <w:rsid w:val="000417E8"/>
    <w:rsid w:val="00043504"/>
    <w:rsid w:val="000437FF"/>
    <w:rsid w:val="0004662C"/>
    <w:rsid w:val="0005591E"/>
    <w:rsid w:val="000639F3"/>
    <w:rsid w:val="00064219"/>
    <w:rsid w:val="00066AD3"/>
    <w:rsid w:val="00070AF8"/>
    <w:rsid w:val="00072EFB"/>
    <w:rsid w:val="00074977"/>
    <w:rsid w:val="000753D8"/>
    <w:rsid w:val="00082AE6"/>
    <w:rsid w:val="00083909"/>
    <w:rsid w:val="00086EB3"/>
    <w:rsid w:val="00093427"/>
    <w:rsid w:val="00094874"/>
    <w:rsid w:val="000953BF"/>
    <w:rsid w:val="000A0C2C"/>
    <w:rsid w:val="000A44C0"/>
    <w:rsid w:val="000A6FAE"/>
    <w:rsid w:val="000B00B9"/>
    <w:rsid w:val="000B06D6"/>
    <w:rsid w:val="000B359E"/>
    <w:rsid w:val="000B390C"/>
    <w:rsid w:val="000B4A27"/>
    <w:rsid w:val="000B690B"/>
    <w:rsid w:val="000C2243"/>
    <w:rsid w:val="000C2628"/>
    <w:rsid w:val="000C2E1B"/>
    <w:rsid w:val="000C5130"/>
    <w:rsid w:val="000C51BB"/>
    <w:rsid w:val="000D257D"/>
    <w:rsid w:val="000D25E8"/>
    <w:rsid w:val="000D640A"/>
    <w:rsid w:val="000E32C1"/>
    <w:rsid w:val="000E48C5"/>
    <w:rsid w:val="000E6431"/>
    <w:rsid w:val="000E713C"/>
    <w:rsid w:val="000E71CE"/>
    <w:rsid w:val="000F093F"/>
    <w:rsid w:val="000F1F8B"/>
    <w:rsid w:val="000F710A"/>
    <w:rsid w:val="000F73A0"/>
    <w:rsid w:val="00103670"/>
    <w:rsid w:val="00104F58"/>
    <w:rsid w:val="00106400"/>
    <w:rsid w:val="00106ACB"/>
    <w:rsid w:val="001106A7"/>
    <w:rsid w:val="001151D2"/>
    <w:rsid w:val="00116832"/>
    <w:rsid w:val="0011697E"/>
    <w:rsid w:val="00117597"/>
    <w:rsid w:val="00120CCB"/>
    <w:rsid w:val="00122812"/>
    <w:rsid w:val="00124C32"/>
    <w:rsid w:val="00127B6B"/>
    <w:rsid w:val="00130C4D"/>
    <w:rsid w:val="00131D09"/>
    <w:rsid w:val="001339FC"/>
    <w:rsid w:val="001371F4"/>
    <w:rsid w:val="00140906"/>
    <w:rsid w:val="0014496C"/>
    <w:rsid w:val="00144F48"/>
    <w:rsid w:val="00145751"/>
    <w:rsid w:val="00145AA9"/>
    <w:rsid w:val="0015051D"/>
    <w:rsid w:val="00152D5E"/>
    <w:rsid w:val="001563D9"/>
    <w:rsid w:val="00157902"/>
    <w:rsid w:val="00157C2A"/>
    <w:rsid w:val="001701F1"/>
    <w:rsid w:val="0017038A"/>
    <w:rsid w:val="00172732"/>
    <w:rsid w:val="001767C4"/>
    <w:rsid w:val="0017727B"/>
    <w:rsid w:val="00181978"/>
    <w:rsid w:val="001843B9"/>
    <w:rsid w:val="001850E6"/>
    <w:rsid w:val="00185822"/>
    <w:rsid w:val="00186969"/>
    <w:rsid w:val="00192841"/>
    <w:rsid w:val="001A1178"/>
    <w:rsid w:val="001A37FF"/>
    <w:rsid w:val="001A3F42"/>
    <w:rsid w:val="001A730E"/>
    <w:rsid w:val="001A75F5"/>
    <w:rsid w:val="001B04E6"/>
    <w:rsid w:val="001B366C"/>
    <w:rsid w:val="001C0C91"/>
    <w:rsid w:val="001C2367"/>
    <w:rsid w:val="001C2CF5"/>
    <w:rsid w:val="001C371C"/>
    <w:rsid w:val="001C3F9E"/>
    <w:rsid w:val="001D137C"/>
    <w:rsid w:val="001D2B48"/>
    <w:rsid w:val="001D2B5F"/>
    <w:rsid w:val="001D35D7"/>
    <w:rsid w:val="001D3B0E"/>
    <w:rsid w:val="001D3C2A"/>
    <w:rsid w:val="001D3F41"/>
    <w:rsid w:val="001D515F"/>
    <w:rsid w:val="001D7206"/>
    <w:rsid w:val="001D7C1D"/>
    <w:rsid w:val="001E0D36"/>
    <w:rsid w:val="001E18BF"/>
    <w:rsid w:val="001E281E"/>
    <w:rsid w:val="001E2F95"/>
    <w:rsid w:val="001E39D3"/>
    <w:rsid w:val="001E7B19"/>
    <w:rsid w:val="001F0AC1"/>
    <w:rsid w:val="001F28B5"/>
    <w:rsid w:val="001F3556"/>
    <w:rsid w:val="001F5988"/>
    <w:rsid w:val="001F7246"/>
    <w:rsid w:val="001F75F3"/>
    <w:rsid w:val="00201A7F"/>
    <w:rsid w:val="00202325"/>
    <w:rsid w:val="002062E9"/>
    <w:rsid w:val="002068FD"/>
    <w:rsid w:val="00206D02"/>
    <w:rsid w:val="0021101F"/>
    <w:rsid w:val="00220565"/>
    <w:rsid w:val="0022156F"/>
    <w:rsid w:val="00222BF2"/>
    <w:rsid w:val="00224412"/>
    <w:rsid w:val="00227F68"/>
    <w:rsid w:val="0023056A"/>
    <w:rsid w:val="0023403B"/>
    <w:rsid w:val="0023542A"/>
    <w:rsid w:val="002369D4"/>
    <w:rsid w:val="002401D7"/>
    <w:rsid w:val="0024097D"/>
    <w:rsid w:val="002410CC"/>
    <w:rsid w:val="00241896"/>
    <w:rsid w:val="00242AE0"/>
    <w:rsid w:val="0024568F"/>
    <w:rsid w:val="0025255B"/>
    <w:rsid w:val="00252695"/>
    <w:rsid w:val="0025369C"/>
    <w:rsid w:val="00253C77"/>
    <w:rsid w:val="00254A3F"/>
    <w:rsid w:val="002560BF"/>
    <w:rsid w:val="00260212"/>
    <w:rsid w:val="00264E6A"/>
    <w:rsid w:val="0027016E"/>
    <w:rsid w:val="00270853"/>
    <w:rsid w:val="00274242"/>
    <w:rsid w:val="002803C6"/>
    <w:rsid w:val="002811F2"/>
    <w:rsid w:val="00281D68"/>
    <w:rsid w:val="002828CE"/>
    <w:rsid w:val="00285085"/>
    <w:rsid w:val="0028629A"/>
    <w:rsid w:val="0029085E"/>
    <w:rsid w:val="002A0811"/>
    <w:rsid w:val="002A43E8"/>
    <w:rsid w:val="002A5F03"/>
    <w:rsid w:val="002A610F"/>
    <w:rsid w:val="002A6824"/>
    <w:rsid w:val="002A7D93"/>
    <w:rsid w:val="002B0114"/>
    <w:rsid w:val="002B269C"/>
    <w:rsid w:val="002B64F9"/>
    <w:rsid w:val="002C20D8"/>
    <w:rsid w:val="002C445B"/>
    <w:rsid w:val="002C520D"/>
    <w:rsid w:val="002C7726"/>
    <w:rsid w:val="002D51BB"/>
    <w:rsid w:val="002E3A82"/>
    <w:rsid w:val="002E4D59"/>
    <w:rsid w:val="002E686C"/>
    <w:rsid w:val="002F0139"/>
    <w:rsid w:val="002F0E6B"/>
    <w:rsid w:val="002F34A4"/>
    <w:rsid w:val="002F505F"/>
    <w:rsid w:val="003001A5"/>
    <w:rsid w:val="003010DF"/>
    <w:rsid w:val="00301A1B"/>
    <w:rsid w:val="00303A4E"/>
    <w:rsid w:val="00303C24"/>
    <w:rsid w:val="00304EC1"/>
    <w:rsid w:val="00305CFB"/>
    <w:rsid w:val="00307911"/>
    <w:rsid w:val="003108E4"/>
    <w:rsid w:val="00310CBC"/>
    <w:rsid w:val="003114F2"/>
    <w:rsid w:val="003133A0"/>
    <w:rsid w:val="00313405"/>
    <w:rsid w:val="00316459"/>
    <w:rsid w:val="00316731"/>
    <w:rsid w:val="00316F2C"/>
    <w:rsid w:val="003175BD"/>
    <w:rsid w:val="00320DD8"/>
    <w:rsid w:val="00324537"/>
    <w:rsid w:val="0032574E"/>
    <w:rsid w:val="00332209"/>
    <w:rsid w:val="00332ED3"/>
    <w:rsid w:val="003342E1"/>
    <w:rsid w:val="00334D1F"/>
    <w:rsid w:val="00340811"/>
    <w:rsid w:val="00341C12"/>
    <w:rsid w:val="003477E4"/>
    <w:rsid w:val="003511F2"/>
    <w:rsid w:val="0035146E"/>
    <w:rsid w:val="00351BB9"/>
    <w:rsid w:val="0035388B"/>
    <w:rsid w:val="003543C7"/>
    <w:rsid w:val="00354567"/>
    <w:rsid w:val="003629C7"/>
    <w:rsid w:val="00363E19"/>
    <w:rsid w:val="00366207"/>
    <w:rsid w:val="003679CC"/>
    <w:rsid w:val="00380750"/>
    <w:rsid w:val="00385081"/>
    <w:rsid w:val="003861F0"/>
    <w:rsid w:val="00391E80"/>
    <w:rsid w:val="00394009"/>
    <w:rsid w:val="00395790"/>
    <w:rsid w:val="00396883"/>
    <w:rsid w:val="003A56DF"/>
    <w:rsid w:val="003A7EE6"/>
    <w:rsid w:val="003B1583"/>
    <w:rsid w:val="003B3A6D"/>
    <w:rsid w:val="003B5251"/>
    <w:rsid w:val="003B59A6"/>
    <w:rsid w:val="003B5EBE"/>
    <w:rsid w:val="003B62BF"/>
    <w:rsid w:val="003B6D95"/>
    <w:rsid w:val="003B76DF"/>
    <w:rsid w:val="003C4724"/>
    <w:rsid w:val="003C693F"/>
    <w:rsid w:val="003D1E56"/>
    <w:rsid w:val="003D25A2"/>
    <w:rsid w:val="003D45AA"/>
    <w:rsid w:val="003E0BC1"/>
    <w:rsid w:val="003E1E27"/>
    <w:rsid w:val="003E21B7"/>
    <w:rsid w:val="003F09FB"/>
    <w:rsid w:val="003F209A"/>
    <w:rsid w:val="003F336E"/>
    <w:rsid w:val="003F66DC"/>
    <w:rsid w:val="00400A7C"/>
    <w:rsid w:val="0040172F"/>
    <w:rsid w:val="004020EB"/>
    <w:rsid w:val="004024F4"/>
    <w:rsid w:val="004028C9"/>
    <w:rsid w:val="0040405B"/>
    <w:rsid w:val="00405D38"/>
    <w:rsid w:val="00405FC6"/>
    <w:rsid w:val="00406495"/>
    <w:rsid w:val="00407D91"/>
    <w:rsid w:val="004114F9"/>
    <w:rsid w:val="004142FB"/>
    <w:rsid w:val="00415188"/>
    <w:rsid w:val="0041696C"/>
    <w:rsid w:val="0041700B"/>
    <w:rsid w:val="00417B5F"/>
    <w:rsid w:val="004202E8"/>
    <w:rsid w:val="004224ED"/>
    <w:rsid w:val="00427C38"/>
    <w:rsid w:val="004409EA"/>
    <w:rsid w:val="00441E2F"/>
    <w:rsid w:val="00444435"/>
    <w:rsid w:val="004459B1"/>
    <w:rsid w:val="00446852"/>
    <w:rsid w:val="00452F79"/>
    <w:rsid w:val="004551B5"/>
    <w:rsid w:val="0045632E"/>
    <w:rsid w:val="00456A11"/>
    <w:rsid w:val="00457614"/>
    <w:rsid w:val="00461024"/>
    <w:rsid w:val="00462EE1"/>
    <w:rsid w:val="00465FAE"/>
    <w:rsid w:val="004702A6"/>
    <w:rsid w:val="0047133F"/>
    <w:rsid w:val="00477D08"/>
    <w:rsid w:val="00482874"/>
    <w:rsid w:val="00483B44"/>
    <w:rsid w:val="004850C4"/>
    <w:rsid w:val="004874A5"/>
    <w:rsid w:val="004919BA"/>
    <w:rsid w:val="00492FFF"/>
    <w:rsid w:val="00493AA2"/>
    <w:rsid w:val="00495454"/>
    <w:rsid w:val="004A0C3E"/>
    <w:rsid w:val="004B0692"/>
    <w:rsid w:val="004B4474"/>
    <w:rsid w:val="004B4E98"/>
    <w:rsid w:val="004C1F2F"/>
    <w:rsid w:val="004C4961"/>
    <w:rsid w:val="004C4CAE"/>
    <w:rsid w:val="004C5C95"/>
    <w:rsid w:val="004C72F2"/>
    <w:rsid w:val="004C7F46"/>
    <w:rsid w:val="004D22F7"/>
    <w:rsid w:val="004D36E4"/>
    <w:rsid w:val="004D3BE2"/>
    <w:rsid w:val="004D3E1C"/>
    <w:rsid w:val="004D6193"/>
    <w:rsid w:val="004E09EF"/>
    <w:rsid w:val="004E2679"/>
    <w:rsid w:val="004E300D"/>
    <w:rsid w:val="004E64A2"/>
    <w:rsid w:val="004E6693"/>
    <w:rsid w:val="004F2E63"/>
    <w:rsid w:val="004F4CB8"/>
    <w:rsid w:val="004F515E"/>
    <w:rsid w:val="0050699A"/>
    <w:rsid w:val="00510E66"/>
    <w:rsid w:val="00511B9C"/>
    <w:rsid w:val="0051228C"/>
    <w:rsid w:val="0051274E"/>
    <w:rsid w:val="00517280"/>
    <w:rsid w:val="00521BBE"/>
    <w:rsid w:val="00522B06"/>
    <w:rsid w:val="00522C7E"/>
    <w:rsid w:val="005230CD"/>
    <w:rsid w:val="00531DE2"/>
    <w:rsid w:val="00536CE8"/>
    <w:rsid w:val="005376BF"/>
    <w:rsid w:val="00546D9E"/>
    <w:rsid w:val="005472F4"/>
    <w:rsid w:val="005511AF"/>
    <w:rsid w:val="0055345B"/>
    <w:rsid w:val="005552D9"/>
    <w:rsid w:val="005560CC"/>
    <w:rsid w:val="00557F23"/>
    <w:rsid w:val="00564522"/>
    <w:rsid w:val="005654C7"/>
    <w:rsid w:val="005666EB"/>
    <w:rsid w:val="00566B1B"/>
    <w:rsid w:val="00567BF5"/>
    <w:rsid w:val="0057038B"/>
    <w:rsid w:val="00571A6D"/>
    <w:rsid w:val="00573253"/>
    <w:rsid w:val="0057361C"/>
    <w:rsid w:val="005736B1"/>
    <w:rsid w:val="0057701F"/>
    <w:rsid w:val="005905A5"/>
    <w:rsid w:val="00590B6A"/>
    <w:rsid w:val="0059171D"/>
    <w:rsid w:val="00594671"/>
    <w:rsid w:val="005A2DDB"/>
    <w:rsid w:val="005A3F52"/>
    <w:rsid w:val="005A5D41"/>
    <w:rsid w:val="005B18A0"/>
    <w:rsid w:val="005B3399"/>
    <w:rsid w:val="005B37A3"/>
    <w:rsid w:val="005B3933"/>
    <w:rsid w:val="005B4152"/>
    <w:rsid w:val="005B4B45"/>
    <w:rsid w:val="005C4BB2"/>
    <w:rsid w:val="005C67EE"/>
    <w:rsid w:val="005C7194"/>
    <w:rsid w:val="005D03F2"/>
    <w:rsid w:val="005D4FD2"/>
    <w:rsid w:val="005D59E6"/>
    <w:rsid w:val="005D6BE9"/>
    <w:rsid w:val="005E03B2"/>
    <w:rsid w:val="005E56F4"/>
    <w:rsid w:val="005E7AD6"/>
    <w:rsid w:val="005F4770"/>
    <w:rsid w:val="005F4CC0"/>
    <w:rsid w:val="005F6A87"/>
    <w:rsid w:val="005F6CA0"/>
    <w:rsid w:val="005F78A0"/>
    <w:rsid w:val="00602806"/>
    <w:rsid w:val="0060316E"/>
    <w:rsid w:val="00605A4C"/>
    <w:rsid w:val="0061115E"/>
    <w:rsid w:val="00611714"/>
    <w:rsid w:val="00615262"/>
    <w:rsid w:val="00616BFE"/>
    <w:rsid w:val="00621D21"/>
    <w:rsid w:val="0063461A"/>
    <w:rsid w:val="00636162"/>
    <w:rsid w:val="00640AE5"/>
    <w:rsid w:val="00643BA6"/>
    <w:rsid w:val="006476FC"/>
    <w:rsid w:val="00651504"/>
    <w:rsid w:val="006557FD"/>
    <w:rsid w:val="006608DE"/>
    <w:rsid w:val="00660BC3"/>
    <w:rsid w:val="00661709"/>
    <w:rsid w:val="006623BD"/>
    <w:rsid w:val="00662BA3"/>
    <w:rsid w:val="00664A71"/>
    <w:rsid w:val="00664FAF"/>
    <w:rsid w:val="006663DC"/>
    <w:rsid w:val="0067208B"/>
    <w:rsid w:val="006733C7"/>
    <w:rsid w:val="00673C73"/>
    <w:rsid w:val="0068020C"/>
    <w:rsid w:val="00684DD9"/>
    <w:rsid w:val="0068712C"/>
    <w:rsid w:val="006979BC"/>
    <w:rsid w:val="006A7A2F"/>
    <w:rsid w:val="006B29AB"/>
    <w:rsid w:val="006B6C18"/>
    <w:rsid w:val="006C1A19"/>
    <w:rsid w:val="006C48B0"/>
    <w:rsid w:val="006C5005"/>
    <w:rsid w:val="006C5CD2"/>
    <w:rsid w:val="006C619A"/>
    <w:rsid w:val="006C635C"/>
    <w:rsid w:val="006C7B2A"/>
    <w:rsid w:val="006D1F23"/>
    <w:rsid w:val="006D46DF"/>
    <w:rsid w:val="006D65B3"/>
    <w:rsid w:val="006D6645"/>
    <w:rsid w:val="006D702E"/>
    <w:rsid w:val="006E1B32"/>
    <w:rsid w:val="006F783B"/>
    <w:rsid w:val="007041DB"/>
    <w:rsid w:val="00711D37"/>
    <w:rsid w:val="00712299"/>
    <w:rsid w:val="00717AAC"/>
    <w:rsid w:val="0072411A"/>
    <w:rsid w:val="00724FD8"/>
    <w:rsid w:val="00726894"/>
    <w:rsid w:val="00732546"/>
    <w:rsid w:val="00732F5E"/>
    <w:rsid w:val="0073354C"/>
    <w:rsid w:val="007347FA"/>
    <w:rsid w:val="00736230"/>
    <w:rsid w:val="00737E27"/>
    <w:rsid w:val="00740423"/>
    <w:rsid w:val="0074212F"/>
    <w:rsid w:val="007422F0"/>
    <w:rsid w:val="0074271F"/>
    <w:rsid w:val="00743C84"/>
    <w:rsid w:val="00745EE1"/>
    <w:rsid w:val="00746070"/>
    <w:rsid w:val="007538DD"/>
    <w:rsid w:val="00754E63"/>
    <w:rsid w:val="00762E32"/>
    <w:rsid w:val="007646F1"/>
    <w:rsid w:val="00765B1F"/>
    <w:rsid w:val="00765EEE"/>
    <w:rsid w:val="00770B02"/>
    <w:rsid w:val="00772D94"/>
    <w:rsid w:val="00773823"/>
    <w:rsid w:val="00773942"/>
    <w:rsid w:val="00775CC8"/>
    <w:rsid w:val="00776149"/>
    <w:rsid w:val="00776D56"/>
    <w:rsid w:val="00782291"/>
    <w:rsid w:val="00784C40"/>
    <w:rsid w:val="00786C63"/>
    <w:rsid w:val="0078723E"/>
    <w:rsid w:val="00790344"/>
    <w:rsid w:val="00795B24"/>
    <w:rsid w:val="007A139D"/>
    <w:rsid w:val="007A6DF2"/>
    <w:rsid w:val="007B32F7"/>
    <w:rsid w:val="007B3450"/>
    <w:rsid w:val="007B39F5"/>
    <w:rsid w:val="007B4A04"/>
    <w:rsid w:val="007B620E"/>
    <w:rsid w:val="007B75FA"/>
    <w:rsid w:val="007C253C"/>
    <w:rsid w:val="007C4B08"/>
    <w:rsid w:val="007C4BE1"/>
    <w:rsid w:val="007C61EF"/>
    <w:rsid w:val="007D060B"/>
    <w:rsid w:val="007D1200"/>
    <w:rsid w:val="007D226F"/>
    <w:rsid w:val="007D2BEC"/>
    <w:rsid w:val="007D37F5"/>
    <w:rsid w:val="007D4E0F"/>
    <w:rsid w:val="007D64A4"/>
    <w:rsid w:val="007D674A"/>
    <w:rsid w:val="007E3760"/>
    <w:rsid w:val="007E613C"/>
    <w:rsid w:val="007F0ACE"/>
    <w:rsid w:val="007F0F90"/>
    <w:rsid w:val="007F18C9"/>
    <w:rsid w:val="007F4865"/>
    <w:rsid w:val="007F4931"/>
    <w:rsid w:val="008058B6"/>
    <w:rsid w:val="00815B08"/>
    <w:rsid w:val="008169D0"/>
    <w:rsid w:val="008207C3"/>
    <w:rsid w:val="00821C0C"/>
    <w:rsid w:val="00822450"/>
    <w:rsid w:val="00823074"/>
    <w:rsid w:val="00824088"/>
    <w:rsid w:val="008326F1"/>
    <w:rsid w:val="0083318B"/>
    <w:rsid w:val="008356E7"/>
    <w:rsid w:val="00836717"/>
    <w:rsid w:val="00845082"/>
    <w:rsid w:val="00846F2E"/>
    <w:rsid w:val="008473B2"/>
    <w:rsid w:val="0085048E"/>
    <w:rsid w:val="00852112"/>
    <w:rsid w:val="00855F53"/>
    <w:rsid w:val="00855FD1"/>
    <w:rsid w:val="0085702F"/>
    <w:rsid w:val="00865F35"/>
    <w:rsid w:val="008664AF"/>
    <w:rsid w:val="0087005C"/>
    <w:rsid w:val="00881BB1"/>
    <w:rsid w:val="008833AC"/>
    <w:rsid w:val="008838E0"/>
    <w:rsid w:val="0088487C"/>
    <w:rsid w:val="00885A00"/>
    <w:rsid w:val="00886E32"/>
    <w:rsid w:val="00887273"/>
    <w:rsid w:val="00892A3D"/>
    <w:rsid w:val="00895310"/>
    <w:rsid w:val="008A2CBD"/>
    <w:rsid w:val="008A3534"/>
    <w:rsid w:val="008A4840"/>
    <w:rsid w:val="008A5A3D"/>
    <w:rsid w:val="008B07F5"/>
    <w:rsid w:val="008B2799"/>
    <w:rsid w:val="008B28F8"/>
    <w:rsid w:val="008B4F43"/>
    <w:rsid w:val="008C382E"/>
    <w:rsid w:val="008C3CE0"/>
    <w:rsid w:val="008C43EA"/>
    <w:rsid w:val="008C4579"/>
    <w:rsid w:val="008C5E1E"/>
    <w:rsid w:val="008D04DD"/>
    <w:rsid w:val="008D1951"/>
    <w:rsid w:val="008D241E"/>
    <w:rsid w:val="008D31E0"/>
    <w:rsid w:val="008D70FA"/>
    <w:rsid w:val="008D776A"/>
    <w:rsid w:val="008D7F04"/>
    <w:rsid w:val="008E57BD"/>
    <w:rsid w:val="008F038F"/>
    <w:rsid w:val="008F72DC"/>
    <w:rsid w:val="009056EB"/>
    <w:rsid w:val="0090700A"/>
    <w:rsid w:val="00910D4C"/>
    <w:rsid w:val="00910ECB"/>
    <w:rsid w:val="00911EC1"/>
    <w:rsid w:val="00913F75"/>
    <w:rsid w:val="009153B1"/>
    <w:rsid w:val="00920034"/>
    <w:rsid w:val="0092233E"/>
    <w:rsid w:val="0092507C"/>
    <w:rsid w:val="00933EAC"/>
    <w:rsid w:val="00934732"/>
    <w:rsid w:val="00936137"/>
    <w:rsid w:val="0093622D"/>
    <w:rsid w:val="009366A6"/>
    <w:rsid w:val="00936AE5"/>
    <w:rsid w:val="00936FCA"/>
    <w:rsid w:val="009402F5"/>
    <w:rsid w:val="00940633"/>
    <w:rsid w:val="00940DFE"/>
    <w:rsid w:val="00943475"/>
    <w:rsid w:val="00944F2D"/>
    <w:rsid w:val="0094741A"/>
    <w:rsid w:val="009523A9"/>
    <w:rsid w:val="00957590"/>
    <w:rsid w:val="00957F94"/>
    <w:rsid w:val="009601E0"/>
    <w:rsid w:val="0096049A"/>
    <w:rsid w:val="009607AA"/>
    <w:rsid w:val="00960C63"/>
    <w:rsid w:val="0096184A"/>
    <w:rsid w:val="009621B8"/>
    <w:rsid w:val="00962BF8"/>
    <w:rsid w:val="0096734C"/>
    <w:rsid w:val="00970C05"/>
    <w:rsid w:val="00972D38"/>
    <w:rsid w:val="00973788"/>
    <w:rsid w:val="0097511F"/>
    <w:rsid w:val="00981F6F"/>
    <w:rsid w:val="00984A73"/>
    <w:rsid w:val="00984F0F"/>
    <w:rsid w:val="0098645C"/>
    <w:rsid w:val="00987E08"/>
    <w:rsid w:val="00992688"/>
    <w:rsid w:val="0099306E"/>
    <w:rsid w:val="00994B20"/>
    <w:rsid w:val="0099666D"/>
    <w:rsid w:val="0099727E"/>
    <w:rsid w:val="00997909"/>
    <w:rsid w:val="00997CE3"/>
    <w:rsid w:val="009A0898"/>
    <w:rsid w:val="009A1F83"/>
    <w:rsid w:val="009A3E93"/>
    <w:rsid w:val="009A754F"/>
    <w:rsid w:val="009B1267"/>
    <w:rsid w:val="009B16FD"/>
    <w:rsid w:val="009B44C0"/>
    <w:rsid w:val="009B51C5"/>
    <w:rsid w:val="009B6724"/>
    <w:rsid w:val="009B6CED"/>
    <w:rsid w:val="009C0EC8"/>
    <w:rsid w:val="009C503D"/>
    <w:rsid w:val="009D0645"/>
    <w:rsid w:val="009D09CD"/>
    <w:rsid w:val="009D5952"/>
    <w:rsid w:val="009D6338"/>
    <w:rsid w:val="009E2063"/>
    <w:rsid w:val="009E3D81"/>
    <w:rsid w:val="009E581A"/>
    <w:rsid w:val="009E690C"/>
    <w:rsid w:val="009F1640"/>
    <w:rsid w:val="009F1E22"/>
    <w:rsid w:val="009F2A5B"/>
    <w:rsid w:val="009F369B"/>
    <w:rsid w:val="009F6CE6"/>
    <w:rsid w:val="00A03268"/>
    <w:rsid w:val="00A0478E"/>
    <w:rsid w:val="00A04B27"/>
    <w:rsid w:val="00A10456"/>
    <w:rsid w:val="00A12CFC"/>
    <w:rsid w:val="00A13769"/>
    <w:rsid w:val="00A17FCF"/>
    <w:rsid w:val="00A21A67"/>
    <w:rsid w:val="00A22302"/>
    <w:rsid w:val="00A22396"/>
    <w:rsid w:val="00A24764"/>
    <w:rsid w:val="00A2608E"/>
    <w:rsid w:val="00A31761"/>
    <w:rsid w:val="00A35756"/>
    <w:rsid w:val="00A364B9"/>
    <w:rsid w:val="00A37375"/>
    <w:rsid w:val="00A375A3"/>
    <w:rsid w:val="00A377EB"/>
    <w:rsid w:val="00A41EF5"/>
    <w:rsid w:val="00A473B9"/>
    <w:rsid w:val="00A506C6"/>
    <w:rsid w:val="00A51A5E"/>
    <w:rsid w:val="00A521A9"/>
    <w:rsid w:val="00A61F85"/>
    <w:rsid w:val="00A63961"/>
    <w:rsid w:val="00A64055"/>
    <w:rsid w:val="00A650FF"/>
    <w:rsid w:val="00A65FB3"/>
    <w:rsid w:val="00A67F9F"/>
    <w:rsid w:val="00A71BAE"/>
    <w:rsid w:val="00A720FB"/>
    <w:rsid w:val="00A76971"/>
    <w:rsid w:val="00A91F60"/>
    <w:rsid w:val="00A93C66"/>
    <w:rsid w:val="00A93FE0"/>
    <w:rsid w:val="00A94017"/>
    <w:rsid w:val="00AA019A"/>
    <w:rsid w:val="00AA05E3"/>
    <w:rsid w:val="00AA2D35"/>
    <w:rsid w:val="00AA342A"/>
    <w:rsid w:val="00AA48CC"/>
    <w:rsid w:val="00AA4F08"/>
    <w:rsid w:val="00AA5635"/>
    <w:rsid w:val="00AB1CE0"/>
    <w:rsid w:val="00AB3531"/>
    <w:rsid w:val="00AB3B5A"/>
    <w:rsid w:val="00AB553C"/>
    <w:rsid w:val="00AC31AB"/>
    <w:rsid w:val="00AC413B"/>
    <w:rsid w:val="00AD02C9"/>
    <w:rsid w:val="00AD1C43"/>
    <w:rsid w:val="00AD1E8A"/>
    <w:rsid w:val="00AD1EE8"/>
    <w:rsid w:val="00AD2844"/>
    <w:rsid w:val="00AD41A9"/>
    <w:rsid w:val="00AD4282"/>
    <w:rsid w:val="00AD6813"/>
    <w:rsid w:val="00AD755F"/>
    <w:rsid w:val="00AD7B5D"/>
    <w:rsid w:val="00AE012F"/>
    <w:rsid w:val="00AE3242"/>
    <w:rsid w:val="00AE32D5"/>
    <w:rsid w:val="00AE4A10"/>
    <w:rsid w:val="00AF1F2F"/>
    <w:rsid w:val="00AF6458"/>
    <w:rsid w:val="00AF7A72"/>
    <w:rsid w:val="00B01809"/>
    <w:rsid w:val="00B019A9"/>
    <w:rsid w:val="00B04B17"/>
    <w:rsid w:val="00B074CE"/>
    <w:rsid w:val="00B12F8F"/>
    <w:rsid w:val="00B13BE6"/>
    <w:rsid w:val="00B22B56"/>
    <w:rsid w:val="00B22D0A"/>
    <w:rsid w:val="00B26444"/>
    <w:rsid w:val="00B31384"/>
    <w:rsid w:val="00B31937"/>
    <w:rsid w:val="00B319CD"/>
    <w:rsid w:val="00B32364"/>
    <w:rsid w:val="00B360FF"/>
    <w:rsid w:val="00B36631"/>
    <w:rsid w:val="00B43A8A"/>
    <w:rsid w:val="00B479A0"/>
    <w:rsid w:val="00B536E3"/>
    <w:rsid w:val="00B53843"/>
    <w:rsid w:val="00B53BCD"/>
    <w:rsid w:val="00B61F5E"/>
    <w:rsid w:val="00B62329"/>
    <w:rsid w:val="00B67C80"/>
    <w:rsid w:val="00B715F5"/>
    <w:rsid w:val="00B80F74"/>
    <w:rsid w:val="00B8375F"/>
    <w:rsid w:val="00B93B45"/>
    <w:rsid w:val="00B94667"/>
    <w:rsid w:val="00B947AA"/>
    <w:rsid w:val="00B95492"/>
    <w:rsid w:val="00BA27FD"/>
    <w:rsid w:val="00BA312B"/>
    <w:rsid w:val="00BA35A2"/>
    <w:rsid w:val="00BA5453"/>
    <w:rsid w:val="00BB55D1"/>
    <w:rsid w:val="00BC024E"/>
    <w:rsid w:val="00BC1FDF"/>
    <w:rsid w:val="00BC3C2E"/>
    <w:rsid w:val="00BC456F"/>
    <w:rsid w:val="00BC7E01"/>
    <w:rsid w:val="00BD0023"/>
    <w:rsid w:val="00BD4F0F"/>
    <w:rsid w:val="00BD6BC3"/>
    <w:rsid w:val="00BD74AF"/>
    <w:rsid w:val="00BE1607"/>
    <w:rsid w:val="00BE469A"/>
    <w:rsid w:val="00BE5499"/>
    <w:rsid w:val="00BE6018"/>
    <w:rsid w:val="00BE6D9D"/>
    <w:rsid w:val="00BF0571"/>
    <w:rsid w:val="00BF0EF6"/>
    <w:rsid w:val="00BF2F6D"/>
    <w:rsid w:val="00BF304A"/>
    <w:rsid w:val="00BF4EDF"/>
    <w:rsid w:val="00BF62B6"/>
    <w:rsid w:val="00BF63F8"/>
    <w:rsid w:val="00BF6C1D"/>
    <w:rsid w:val="00BF7149"/>
    <w:rsid w:val="00C0040D"/>
    <w:rsid w:val="00C00974"/>
    <w:rsid w:val="00C018DE"/>
    <w:rsid w:val="00C023E0"/>
    <w:rsid w:val="00C0366E"/>
    <w:rsid w:val="00C04308"/>
    <w:rsid w:val="00C04AE1"/>
    <w:rsid w:val="00C05B26"/>
    <w:rsid w:val="00C1028B"/>
    <w:rsid w:val="00C10EC4"/>
    <w:rsid w:val="00C117BF"/>
    <w:rsid w:val="00C20DA8"/>
    <w:rsid w:val="00C21B7B"/>
    <w:rsid w:val="00C275F5"/>
    <w:rsid w:val="00C3408B"/>
    <w:rsid w:val="00C36E40"/>
    <w:rsid w:val="00C4374D"/>
    <w:rsid w:val="00C44599"/>
    <w:rsid w:val="00C47619"/>
    <w:rsid w:val="00C50B26"/>
    <w:rsid w:val="00C50FAD"/>
    <w:rsid w:val="00C541E8"/>
    <w:rsid w:val="00C54374"/>
    <w:rsid w:val="00C6344D"/>
    <w:rsid w:val="00C675CE"/>
    <w:rsid w:val="00C73EB4"/>
    <w:rsid w:val="00C771FD"/>
    <w:rsid w:val="00C830BA"/>
    <w:rsid w:val="00C92417"/>
    <w:rsid w:val="00C92F9F"/>
    <w:rsid w:val="00C95821"/>
    <w:rsid w:val="00CA3432"/>
    <w:rsid w:val="00CA3CD2"/>
    <w:rsid w:val="00CA5C70"/>
    <w:rsid w:val="00CA6904"/>
    <w:rsid w:val="00CB0335"/>
    <w:rsid w:val="00CB1D43"/>
    <w:rsid w:val="00CB5499"/>
    <w:rsid w:val="00CB7FC8"/>
    <w:rsid w:val="00CC1063"/>
    <w:rsid w:val="00CC3FA1"/>
    <w:rsid w:val="00CD07EC"/>
    <w:rsid w:val="00CD3E13"/>
    <w:rsid w:val="00CD6822"/>
    <w:rsid w:val="00CD6F6A"/>
    <w:rsid w:val="00CE2EFF"/>
    <w:rsid w:val="00CE44B6"/>
    <w:rsid w:val="00CE47EC"/>
    <w:rsid w:val="00CE7E22"/>
    <w:rsid w:val="00CF0CFD"/>
    <w:rsid w:val="00CF0DB0"/>
    <w:rsid w:val="00CF14FE"/>
    <w:rsid w:val="00CF51A4"/>
    <w:rsid w:val="00CF7B47"/>
    <w:rsid w:val="00D045BF"/>
    <w:rsid w:val="00D04E80"/>
    <w:rsid w:val="00D10EB4"/>
    <w:rsid w:val="00D1307D"/>
    <w:rsid w:val="00D20A0F"/>
    <w:rsid w:val="00D324C1"/>
    <w:rsid w:val="00D40587"/>
    <w:rsid w:val="00D42CA4"/>
    <w:rsid w:val="00D43BAB"/>
    <w:rsid w:val="00D46F47"/>
    <w:rsid w:val="00D5112C"/>
    <w:rsid w:val="00D52018"/>
    <w:rsid w:val="00D54EF6"/>
    <w:rsid w:val="00D60851"/>
    <w:rsid w:val="00D6142D"/>
    <w:rsid w:val="00D61F68"/>
    <w:rsid w:val="00D63346"/>
    <w:rsid w:val="00D635CD"/>
    <w:rsid w:val="00D70A22"/>
    <w:rsid w:val="00D70AA0"/>
    <w:rsid w:val="00D7184E"/>
    <w:rsid w:val="00D809DE"/>
    <w:rsid w:val="00D815F5"/>
    <w:rsid w:val="00D84D8B"/>
    <w:rsid w:val="00D85ABB"/>
    <w:rsid w:val="00D86D89"/>
    <w:rsid w:val="00D87C33"/>
    <w:rsid w:val="00D90EC4"/>
    <w:rsid w:val="00D9112D"/>
    <w:rsid w:val="00D92B6A"/>
    <w:rsid w:val="00D92E5F"/>
    <w:rsid w:val="00D9458A"/>
    <w:rsid w:val="00D950F2"/>
    <w:rsid w:val="00DA4C39"/>
    <w:rsid w:val="00DA53D6"/>
    <w:rsid w:val="00DB0A33"/>
    <w:rsid w:val="00DB11E6"/>
    <w:rsid w:val="00DB4B48"/>
    <w:rsid w:val="00DB53C3"/>
    <w:rsid w:val="00DB65C7"/>
    <w:rsid w:val="00DB7191"/>
    <w:rsid w:val="00DB7CB3"/>
    <w:rsid w:val="00DC20BA"/>
    <w:rsid w:val="00DC459C"/>
    <w:rsid w:val="00DC46D6"/>
    <w:rsid w:val="00DC7964"/>
    <w:rsid w:val="00DD0272"/>
    <w:rsid w:val="00DD0351"/>
    <w:rsid w:val="00DD2AE1"/>
    <w:rsid w:val="00DD5121"/>
    <w:rsid w:val="00DD64A4"/>
    <w:rsid w:val="00DE2E01"/>
    <w:rsid w:val="00DE646A"/>
    <w:rsid w:val="00DF07D3"/>
    <w:rsid w:val="00DF1EF6"/>
    <w:rsid w:val="00DF3DB8"/>
    <w:rsid w:val="00DF4DBC"/>
    <w:rsid w:val="00DF758D"/>
    <w:rsid w:val="00E0119E"/>
    <w:rsid w:val="00E01C80"/>
    <w:rsid w:val="00E01F07"/>
    <w:rsid w:val="00E0241F"/>
    <w:rsid w:val="00E03A0A"/>
    <w:rsid w:val="00E049B9"/>
    <w:rsid w:val="00E05B37"/>
    <w:rsid w:val="00E11C5F"/>
    <w:rsid w:val="00E1250B"/>
    <w:rsid w:val="00E13D3F"/>
    <w:rsid w:val="00E14AA3"/>
    <w:rsid w:val="00E16A38"/>
    <w:rsid w:val="00E208B3"/>
    <w:rsid w:val="00E20F1E"/>
    <w:rsid w:val="00E272E1"/>
    <w:rsid w:val="00E31404"/>
    <w:rsid w:val="00E3151B"/>
    <w:rsid w:val="00E354E1"/>
    <w:rsid w:val="00E37C62"/>
    <w:rsid w:val="00E37C73"/>
    <w:rsid w:val="00E40690"/>
    <w:rsid w:val="00E41524"/>
    <w:rsid w:val="00E4168C"/>
    <w:rsid w:val="00E41724"/>
    <w:rsid w:val="00E42B00"/>
    <w:rsid w:val="00E43521"/>
    <w:rsid w:val="00E43601"/>
    <w:rsid w:val="00E45ED9"/>
    <w:rsid w:val="00E46AD2"/>
    <w:rsid w:val="00E46D40"/>
    <w:rsid w:val="00E4753C"/>
    <w:rsid w:val="00E52EC1"/>
    <w:rsid w:val="00E549DB"/>
    <w:rsid w:val="00E55B1D"/>
    <w:rsid w:val="00E6654C"/>
    <w:rsid w:val="00E67274"/>
    <w:rsid w:val="00E6770D"/>
    <w:rsid w:val="00E7461B"/>
    <w:rsid w:val="00E81F0E"/>
    <w:rsid w:val="00E82D52"/>
    <w:rsid w:val="00E84984"/>
    <w:rsid w:val="00E851F2"/>
    <w:rsid w:val="00E85FA6"/>
    <w:rsid w:val="00E87E53"/>
    <w:rsid w:val="00E90292"/>
    <w:rsid w:val="00E912AD"/>
    <w:rsid w:val="00E94039"/>
    <w:rsid w:val="00E95615"/>
    <w:rsid w:val="00EA0780"/>
    <w:rsid w:val="00EA09C1"/>
    <w:rsid w:val="00EA1755"/>
    <w:rsid w:val="00EA2FB4"/>
    <w:rsid w:val="00EA4CF8"/>
    <w:rsid w:val="00EA7D9A"/>
    <w:rsid w:val="00EC0A32"/>
    <w:rsid w:val="00ED08C9"/>
    <w:rsid w:val="00ED277E"/>
    <w:rsid w:val="00ED28F8"/>
    <w:rsid w:val="00ED4A8E"/>
    <w:rsid w:val="00ED7EDE"/>
    <w:rsid w:val="00EE4D91"/>
    <w:rsid w:val="00EF0707"/>
    <w:rsid w:val="00EF3E8B"/>
    <w:rsid w:val="00EF4AEE"/>
    <w:rsid w:val="00F002F8"/>
    <w:rsid w:val="00F05649"/>
    <w:rsid w:val="00F06279"/>
    <w:rsid w:val="00F06E40"/>
    <w:rsid w:val="00F103D9"/>
    <w:rsid w:val="00F11E09"/>
    <w:rsid w:val="00F13D41"/>
    <w:rsid w:val="00F1422F"/>
    <w:rsid w:val="00F2613A"/>
    <w:rsid w:val="00F32A0F"/>
    <w:rsid w:val="00F336AA"/>
    <w:rsid w:val="00F336B7"/>
    <w:rsid w:val="00F33965"/>
    <w:rsid w:val="00F33A7D"/>
    <w:rsid w:val="00F34CCC"/>
    <w:rsid w:val="00F35DFB"/>
    <w:rsid w:val="00F40EC2"/>
    <w:rsid w:val="00F45D92"/>
    <w:rsid w:val="00F46572"/>
    <w:rsid w:val="00F46A97"/>
    <w:rsid w:val="00F47791"/>
    <w:rsid w:val="00F576EA"/>
    <w:rsid w:val="00F6127E"/>
    <w:rsid w:val="00F61787"/>
    <w:rsid w:val="00F62492"/>
    <w:rsid w:val="00F62B26"/>
    <w:rsid w:val="00F630AC"/>
    <w:rsid w:val="00F654E9"/>
    <w:rsid w:val="00F660F3"/>
    <w:rsid w:val="00F67914"/>
    <w:rsid w:val="00F71022"/>
    <w:rsid w:val="00F74C5E"/>
    <w:rsid w:val="00F77A82"/>
    <w:rsid w:val="00F805C7"/>
    <w:rsid w:val="00F817FF"/>
    <w:rsid w:val="00F837CC"/>
    <w:rsid w:val="00F85EC7"/>
    <w:rsid w:val="00F90EA1"/>
    <w:rsid w:val="00F94BDA"/>
    <w:rsid w:val="00F9527D"/>
    <w:rsid w:val="00F95D82"/>
    <w:rsid w:val="00FA3CA6"/>
    <w:rsid w:val="00FA3FC6"/>
    <w:rsid w:val="00FA4EB5"/>
    <w:rsid w:val="00FB0ACD"/>
    <w:rsid w:val="00FB140F"/>
    <w:rsid w:val="00FB4184"/>
    <w:rsid w:val="00FB494A"/>
    <w:rsid w:val="00FB7595"/>
    <w:rsid w:val="00FC24CF"/>
    <w:rsid w:val="00FC34C4"/>
    <w:rsid w:val="00FC4195"/>
    <w:rsid w:val="00FC43B9"/>
    <w:rsid w:val="00FC60C6"/>
    <w:rsid w:val="00FD2E98"/>
    <w:rsid w:val="00FD4118"/>
    <w:rsid w:val="00FD4440"/>
    <w:rsid w:val="00FD4EFD"/>
    <w:rsid w:val="00FD66B0"/>
    <w:rsid w:val="00FE1247"/>
    <w:rsid w:val="00FE1F39"/>
    <w:rsid w:val="00FE34DB"/>
    <w:rsid w:val="00FE442D"/>
    <w:rsid w:val="00FE6059"/>
    <w:rsid w:val="00FF06E3"/>
    <w:rsid w:val="00FF079B"/>
    <w:rsid w:val="00FF2DA1"/>
    <w:rsid w:val="00FF4168"/>
    <w:rsid w:val="00FF4BBC"/>
    <w:rsid w:val="017076C5"/>
    <w:rsid w:val="01785B98"/>
    <w:rsid w:val="01FE5971"/>
    <w:rsid w:val="02437858"/>
    <w:rsid w:val="0295277A"/>
    <w:rsid w:val="02D432A2"/>
    <w:rsid w:val="02E132C9"/>
    <w:rsid w:val="02E84657"/>
    <w:rsid w:val="030B2A3C"/>
    <w:rsid w:val="034E270C"/>
    <w:rsid w:val="035F3B68"/>
    <w:rsid w:val="038A7E04"/>
    <w:rsid w:val="04243DB5"/>
    <w:rsid w:val="04367644"/>
    <w:rsid w:val="044C0C16"/>
    <w:rsid w:val="049727D9"/>
    <w:rsid w:val="04AD3DAA"/>
    <w:rsid w:val="04AE367F"/>
    <w:rsid w:val="04B2316F"/>
    <w:rsid w:val="04BE5FB8"/>
    <w:rsid w:val="05096B07"/>
    <w:rsid w:val="051E6A56"/>
    <w:rsid w:val="056703FD"/>
    <w:rsid w:val="05B178CA"/>
    <w:rsid w:val="05ED01D7"/>
    <w:rsid w:val="061D286A"/>
    <w:rsid w:val="064A73D7"/>
    <w:rsid w:val="06604E4C"/>
    <w:rsid w:val="06F757B1"/>
    <w:rsid w:val="070E2AFA"/>
    <w:rsid w:val="0768716F"/>
    <w:rsid w:val="07714B45"/>
    <w:rsid w:val="07750484"/>
    <w:rsid w:val="07E01DA1"/>
    <w:rsid w:val="07FD6DF7"/>
    <w:rsid w:val="081163FE"/>
    <w:rsid w:val="08517143"/>
    <w:rsid w:val="086724C2"/>
    <w:rsid w:val="0869623A"/>
    <w:rsid w:val="088061BE"/>
    <w:rsid w:val="08931509"/>
    <w:rsid w:val="089B6610"/>
    <w:rsid w:val="08AC6127"/>
    <w:rsid w:val="08DA2C94"/>
    <w:rsid w:val="08FA48F0"/>
    <w:rsid w:val="09023F99"/>
    <w:rsid w:val="09137F54"/>
    <w:rsid w:val="09151F1E"/>
    <w:rsid w:val="09DE67B4"/>
    <w:rsid w:val="09FB55B8"/>
    <w:rsid w:val="0A4D7496"/>
    <w:rsid w:val="0A652A31"/>
    <w:rsid w:val="0B7218AA"/>
    <w:rsid w:val="0B745622"/>
    <w:rsid w:val="0B865355"/>
    <w:rsid w:val="0BA80E28"/>
    <w:rsid w:val="0BF70001"/>
    <w:rsid w:val="0C6F6023"/>
    <w:rsid w:val="0C807FF6"/>
    <w:rsid w:val="0CA84E57"/>
    <w:rsid w:val="0D103128"/>
    <w:rsid w:val="0D263B97"/>
    <w:rsid w:val="0D5C45C0"/>
    <w:rsid w:val="0D755681"/>
    <w:rsid w:val="0D7DDD0E"/>
    <w:rsid w:val="0D9553DC"/>
    <w:rsid w:val="0DAB10A3"/>
    <w:rsid w:val="0DFDF096"/>
    <w:rsid w:val="0E0D1416"/>
    <w:rsid w:val="0E0E518E"/>
    <w:rsid w:val="0E230C39"/>
    <w:rsid w:val="0E250E55"/>
    <w:rsid w:val="0E37022F"/>
    <w:rsid w:val="0E4F1A2E"/>
    <w:rsid w:val="0EAA4EB7"/>
    <w:rsid w:val="0EB16245"/>
    <w:rsid w:val="0EBE0962"/>
    <w:rsid w:val="0EF6634E"/>
    <w:rsid w:val="0F206C5C"/>
    <w:rsid w:val="0F515C7A"/>
    <w:rsid w:val="0F7D25CB"/>
    <w:rsid w:val="0FB1D7CD"/>
    <w:rsid w:val="0FDD12BC"/>
    <w:rsid w:val="0FE10DAC"/>
    <w:rsid w:val="0FFB1C77"/>
    <w:rsid w:val="10014FAA"/>
    <w:rsid w:val="10AA73F0"/>
    <w:rsid w:val="10AD0C8E"/>
    <w:rsid w:val="10BE7F6B"/>
    <w:rsid w:val="10C61D50"/>
    <w:rsid w:val="10EF12A7"/>
    <w:rsid w:val="110411F6"/>
    <w:rsid w:val="11141311"/>
    <w:rsid w:val="1182211B"/>
    <w:rsid w:val="11E46932"/>
    <w:rsid w:val="11F254F3"/>
    <w:rsid w:val="12486EC1"/>
    <w:rsid w:val="129B7938"/>
    <w:rsid w:val="12CC5D44"/>
    <w:rsid w:val="12F71DB8"/>
    <w:rsid w:val="13561AB1"/>
    <w:rsid w:val="137D2B9A"/>
    <w:rsid w:val="1399374C"/>
    <w:rsid w:val="13AE369B"/>
    <w:rsid w:val="13C7475D"/>
    <w:rsid w:val="142179C9"/>
    <w:rsid w:val="1423506B"/>
    <w:rsid w:val="1432607A"/>
    <w:rsid w:val="14425B91"/>
    <w:rsid w:val="14575AE1"/>
    <w:rsid w:val="14631636"/>
    <w:rsid w:val="146D2C0E"/>
    <w:rsid w:val="14977C8B"/>
    <w:rsid w:val="15785D0F"/>
    <w:rsid w:val="15B17473"/>
    <w:rsid w:val="15E038B4"/>
    <w:rsid w:val="16074D1B"/>
    <w:rsid w:val="1613320A"/>
    <w:rsid w:val="1638549E"/>
    <w:rsid w:val="16557DFE"/>
    <w:rsid w:val="165F0C7D"/>
    <w:rsid w:val="169E17A5"/>
    <w:rsid w:val="16C136E5"/>
    <w:rsid w:val="16F8BD53"/>
    <w:rsid w:val="171C6F29"/>
    <w:rsid w:val="1735378C"/>
    <w:rsid w:val="17555BDC"/>
    <w:rsid w:val="1776627E"/>
    <w:rsid w:val="178E73B5"/>
    <w:rsid w:val="17A17BC0"/>
    <w:rsid w:val="17AC7EF2"/>
    <w:rsid w:val="17CD1C16"/>
    <w:rsid w:val="180A2E6A"/>
    <w:rsid w:val="182757CA"/>
    <w:rsid w:val="18673E19"/>
    <w:rsid w:val="18A43B32"/>
    <w:rsid w:val="18BD1C8B"/>
    <w:rsid w:val="195B397D"/>
    <w:rsid w:val="19B747DA"/>
    <w:rsid w:val="19F16090"/>
    <w:rsid w:val="19F31E08"/>
    <w:rsid w:val="1A143B2C"/>
    <w:rsid w:val="1A534654"/>
    <w:rsid w:val="1AA90718"/>
    <w:rsid w:val="1ADC6D40"/>
    <w:rsid w:val="1AE300CE"/>
    <w:rsid w:val="1AEF6A73"/>
    <w:rsid w:val="1B300E3A"/>
    <w:rsid w:val="1B83540D"/>
    <w:rsid w:val="1B9238A2"/>
    <w:rsid w:val="1B997056"/>
    <w:rsid w:val="1C220782"/>
    <w:rsid w:val="1C420E24"/>
    <w:rsid w:val="1C427076"/>
    <w:rsid w:val="1D167BBB"/>
    <w:rsid w:val="1D7C3EC2"/>
    <w:rsid w:val="1DF3368A"/>
    <w:rsid w:val="1DF96BB5"/>
    <w:rsid w:val="1DFE521F"/>
    <w:rsid w:val="1E114F52"/>
    <w:rsid w:val="1E4470D6"/>
    <w:rsid w:val="1EE461C3"/>
    <w:rsid w:val="1EFB17B3"/>
    <w:rsid w:val="1F073C5F"/>
    <w:rsid w:val="1F0E4FEE"/>
    <w:rsid w:val="1F1620F4"/>
    <w:rsid w:val="1FA0658E"/>
    <w:rsid w:val="1FC85AE5"/>
    <w:rsid w:val="1FFB9FD7"/>
    <w:rsid w:val="20032679"/>
    <w:rsid w:val="20036B1D"/>
    <w:rsid w:val="200563F1"/>
    <w:rsid w:val="20254CE5"/>
    <w:rsid w:val="2030447F"/>
    <w:rsid w:val="205B0707"/>
    <w:rsid w:val="20651585"/>
    <w:rsid w:val="20672C08"/>
    <w:rsid w:val="20915ED7"/>
    <w:rsid w:val="20A35C0A"/>
    <w:rsid w:val="20C77B4A"/>
    <w:rsid w:val="20E22BD6"/>
    <w:rsid w:val="21022930"/>
    <w:rsid w:val="210E7527"/>
    <w:rsid w:val="2129610F"/>
    <w:rsid w:val="21486EDD"/>
    <w:rsid w:val="21703D3E"/>
    <w:rsid w:val="21AD0AEE"/>
    <w:rsid w:val="21DC7625"/>
    <w:rsid w:val="220B7F0B"/>
    <w:rsid w:val="22743D02"/>
    <w:rsid w:val="22811422"/>
    <w:rsid w:val="231177A3"/>
    <w:rsid w:val="23144B9D"/>
    <w:rsid w:val="23151041"/>
    <w:rsid w:val="23250B58"/>
    <w:rsid w:val="235C6C70"/>
    <w:rsid w:val="236E69A3"/>
    <w:rsid w:val="23955DDD"/>
    <w:rsid w:val="239D1FC0"/>
    <w:rsid w:val="23DC56BB"/>
    <w:rsid w:val="23FA1FE5"/>
    <w:rsid w:val="24253506"/>
    <w:rsid w:val="245142FB"/>
    <w:rsid w:val="2460453E"/>
    <w:rsid w:val="248F4E23"/>
    <w:rsid w:val="24B228BF"/>
    <w:rsid w:val="24C3687B"/>
    <w:rsid w:val="24DB5972"/>
    <w:rsid w:val="250D7AF6"/>
    <w:rsid w:val="25135959"/>
    <w:rsid w:val="257D4C7B"/>
    <w:rsid w:val="258B383C"/>
    <w:rsid w:val="258C3110"/>
    <w:rsid w:val="25A71CF8"/>
    <w:rsid w:val="261A4654"/>
    <w:rsid w:val="265956E8"/>
    <w:rsid w:val="269A360B"/>
    <w:rsid w:val="26C37006"/>
    <w:rsid w:val="26C50688"/>
    <w:rsid w:val="26D0702D"/>
    <w:rsid w:val="26DBA58A"/>
    <w:rsid w:val="26DD00C8"/>
    <w:rsid w:val="27005B64"/>
    <w:rsid w:val="2786250D"/>
    <w:rsid w:val="27897907"/>
    <w:rsid w:val="27A95BF2"/>
    <w:rsid w:val="27D52B4D"/>
    <w:rsid w:val="27D56FF1"/>
    <w:rsid w:val="27EB6814"/>
    <w:rsid w:val="28142174"/>
    <w:rsid w:val="28311CE2"/>
    <w:rsid w:val="28F60FCD"/>
    <w:rsid w:val="28FB4835"/>
    <w:rsid w:val="290A4A78"/>
    <w:rsid w:val="293E4722"/>
    <w:rsid w:val="296248B4"/>
    <w:rsid w:val="29E67293"/>
    <w:rsid w:val="2A247DBB"/>
    <w:rsid w:val="2A5C1303"/>
    <w:rsid w:val="2A663F30"/>
    <w:rsid w:val="2A833231"/>
    <w:rsid w:val="2A834AE2"/>
    <w:rsid w:val="2AC82E3D"/>
    <w:rsid w:val="2B013C59"/>
    <w:rsid w:val="2B2A4221"/>
    <w:rsid w:val="2B6C1A1A"/>
    <w:rsid w:val="2B7E52A9"/>
    <w:rsid w:val="2C02237E"/>
    <w:rsid w:val="2C2220D9"/>
    <w:rsid w:val="2C5524AE"/>
    <w:rsid w:val="2C5B55EB"/>
    <w:rsid w:val="2C7F577D"/>
    <w:rsid w:val="2C9C00DD"/>
    <w:rsid w:val="2D201D27"/>
    <w:rsid w:val="2DAD00C8"/>
    <w:rsid w:val="2DEB0975"/>
    <w:rsid w:val="2DF950BB"/>
    <w:rsid w:val="2E255EB0"/>
    <w:rsid w:val="2E5549E7"/>
    <w:rsid w:val="2E5B7B24"/>
    <w:rsid w:val="2E625356"/>
    <w:rsid w:val="2E6469D8"/>
    <w:rsid w:val="2E777AB5"/>
    <w:rsid w:val="2EAB4607"/>
    <w:rsid w:val="2EAD4823"/>
    <w:rsid w:val="2EAE2349"/>
    <w:rsid w:val="2EF97A69"/>
    <w:rsid w:val="2F2148C9"/>
    <w:rsid w:val="2F4B5DEA"/>
    <w:rsid w:val="2F7F59B9"/>
    <w:rsid w:val="2F860D88"/>
    <w:rsid w:val="2F866E22"/>
    <w:rsid w:val="2F9F47C9"/>
    <w:rsid w:val="2FAA48BF"/>
    <w:rsid w:val="30395C43"/>
    <w:rsid w:val="30444D13"/>
    <w:rsid w:val="304940D8"/>
    <w:rsid w:val="304E16EE"/>
    <w:rsid w:val="305D7B83"/>
    <w:rsid w:val="309061AB"/>
    <w:rsid w:val="30A25EDE"/>
    <w:rsid w:val="30AE6631"/>
    <w:rsid w:val="30CE6CD3"/>
    <w:rsid w:val="30D50061"/>
    <w:rsid w:val="30E26282"/>
    <w:rsid w:val="30FF6E8C"/>
    <w:rsid w:val="310224D9"/>
    <w:rsid w:val="3166515D"/>
    <w:rsid w:val="323B0398"/>
    <w:rsid w:val="324803BF"/>
    <w:rsid w:val="32607DFF"/>
    <w:rsid w:val="326E7E26"/>
    <w:rsid w:val="32D61E6F"/>
    <w:rsid w:val="3316226B"/>
    <w:rsid w:val="33185FE3"/>
    <w:rsid w:val="331A7FAD"/>
    <w:rsid w:val="3350577D"/>
    <w:rsid w:val="337551E4"/>
    <w:rsid w:val="33A07F35"/>
    <w:rsid w:val="33EC194A"/>
    <w:rsid w:val="33F627C9"/>
    <w:rsid w:val="34120C85"/>
    <w:rsid w:val="34367069"/>
    <w:rsid w:val="345B6AD0"/>
    <w:rsid w:val="34833930"/>
    <w:rsid w:val="34CE54F3"/>
    <w:rsid w:val="34DB376C"/>
    <w:rsid w:val="34F565DC"/>
    <w:rsid w:val="35215623"/>
    <w:rsid w:val="353A0493"/>
    <w:rsid w:val="354B444E"/>
    <w:rsid w:val="355F7EFA"/>
    <w:rsid w:val="35683252"/>
    <w:rsid w:val="35B751FB"/>
    <w:rsid w:val="35F40F8A"/>
    <w:rsid w:val="36317AE8"/>
    <w:rsid w:val="367B0D63"/>
    <w:rsid w:val="36910587"/>
    <w:rsid w:val="3699568D"/>
    <w:rsid w:val="36AB5C02"/>
    <w:rsid w:val="36E20DE2"/>
    <w:rsid w:val="370F76FD"/>
    <w:rsid w:val="37227431"/>
    <w:rsid w:val="37620175"/>
    <w:rsid w:val="376C68FE"/>
    <w:rsid w:val="377A101B"/>
    <w:rsid w:val="377F05A7"/>
    <w:rsid w:val="37C8447C"/>
    <w:rsid w:val="37CB1876"/>
    <w:rsid w:val="37F05781"/>
    <w:rsid w:val="37F92887"/>
    <w:rsid w:val="38305B7D"/>
    <w:rsid w:val="38B90269"/>
    <w:rsid w:val="391D4354"/>
    <w:rsid w:val="39241B86"/>
    <w:rsid w:val="39383040"/>
    <w:rsid w:val="3949339B"/>
    <w:rsid w:val="3961140E"/>
    <w:rsid w:val="397B72CC"/>
    <w:rsid w:val="39882115"/>
    <w:rsid w:val="39893797"/>
    <w:rsid w:val="39EE7A9E"/>
    <w:rsid w:val="39F33306"/>
    <w:rsid w:val="3A0D6176"/>
    <w:rsid w:val="3A126077"/>
    <w:rsid w:val="3AA06FEA"/>
    <w:rsid w:val="3AC11BD0"/>
    <w:rsid w:val="3AC151B3"/>
    <w:rsid w:val="3AC70A1B"/>
    <w:rsid w:val="3AE8273F"/>
    <w:rsid w:val="3B842468"/>
    <w:rsid w:val="3BBA40DC"/>
    <w:rsid w:val="3BDC6748"/>
    <w:rsid w:val="3BDF3B42"/>
    <w:rsid w:val="3BEB24E7"/>
    <w:rsid w:val="3C1A7270"/>
    <w:rsid w:val="3C1F4887"/>
    <w:rsid w:val="3C3C2D43"/>
    <w:rsid w:val="3C9568F7"/>
    <w:rsid w:val="3CA8662A"/>
    <w:rsid w:val="3CDD8485"/>
    <w:rsid w:val="3CE8111C"/>
    <w:rsid w:val="3D167A38"/>
    <w:rsid w:val="3D1B32A0"/>
    <w:rsid w:val="3D271C45"/>
    <w:rsid w:val="3D5E4F3B"/>
    <w:rsid w:val="3D6764E5"/>
    <w:rsid w:val="3D695DB9"/>
    <w:rsid w:val="3DDF7E2A"/>
    <w:rsid w:val="3DEFF4E2"/>
    <w:rsid w:val="3DFB677B"/>
    <w:rsid w:val="3E5500EC"/>
    <w:rsid w:val="3EAE5A4E"/>
    <w:rsid w:val="3EBA2645"/>
    <w:rsid w:val="3EFD6AB1"/>
    <w:rsid w:val="3F0D09C6"/>
    <w:rsid w:val="3F4C14EF"/>
    <w:rsid w:val="3F6D58FE"/>
    <w:rsid w:val="3F6F59B0"/>
    <w:rsid w:val="3F7B1DD4"/>
    <w:rsid w:val="3FC714BD"/>
    <w:rsid w:val="3FEF560F"/>
    <w:rsid w:val="3FF027C2"/>
    <w:rsid w:val="3FF3CA51"/>
    <w:rsid w:val="3FFD3C5E"/>
    <w:rsid w:val="40095632"/>
    <w:rsid w:val="401B7113"/>
    <w:rsid w:val="407C22A8"/>
    <w:rsid w:val="40CB6D8B"/>
    <w:rsid w:val="40ED4F53"/>
    <w:rsid w:val="411424E0"/>
    <w:rsid w:val="41326E0A"/>
    <w:rsid w:val="41391F47"/>
    <w:rsid w:val="41923405"/>
    <w:rsid w:val="41C23CEA"/>
    <w:rsid w:val="41E81277"/>
    <w:rsid w:val="41FD2F74"/>
    <w:rsid w:val="423F358D"/>
    <w:rsid w:val="4250579A"/>
    <w:rsid w:val="42A11B51"/>
    <w:rsid w:val="42B0448A"/>
    <w:rsid w:val="42C65A5C"/>
    <w:rsid w:val="430A1DED"/>
    <w:rsid w:val="43232637"/>
    <w:rsid w:val="4348021F"/>
    <w:rsid w:val="43486471"/>
    <w:rsid w:val="435412BA"/>
    <w:rsid w:val="43813731"/>
    <w:rsid w:val="43943464"/>
    <w:rsid w:val="43EA577A"/>
    <w:rsid w:val="445552E9"/>
    <w:rsid w:val="44913E48"/>
    <w:rsid w:val="44A818BD"/>
    <w:rsid w:val="44CC6C2E"/>
    <w:rsid w:val="44DA134B"/>
    <w:rsid w:val="44F260A5"/>
    <w:rsid w:val="44FF0DB1"/>
    <w:rsid w:val="450B59A8"/>
    <w:rsid w:val="455410FD"/>
    <w:rsid w:val="45997458"/>
    <w:rsid w:val="45CA5863"/>
    <w:rsid w:val="45F34DBA"/>
    <w:rsid w:val="45F6020C"/>
    <w:rsid w:val="46A2058E"/>
    <w:rsid w:val="46E22739"/>
    <w:rsid w:val="472D7E58"/>
    <w:rsid w:val="474D674C"/>
    <w:rsid w:val="476D723C"/>
    <w:rsid w:val="478D08F6"/>
    <w:rsid w:val="47AFC540"/>
    <w:rsid w:val="47B75973"/>
    <w:rsid w:val="47CB141F"/>
    <w:rsid w:val="487877F8"/>
    <w:rsid w:val="48CE11C6"/>
    <w:rsid w:val="48D72771"/>
    <w:rsid w:val="49267254"/>
    <w:rsid w:val="4938307D"/>
    <w:rsid w:val="49425710"/>
    <w:rsid w:val="496164DE"/>
    <w:rsid w:val="49731D6E"/>
    <w:rsid w:val="4981485D"/>
    <w:rsid w:val="4A003601"/>
    <w:rsid w:val="4AA26434"/>
    <w:rsid w:val="4AC24D5B"/>
    <w:rsid w:val="4AFF3647"/>
    <w:rsid w:val="4B0E7FA0"/>
    <w:rsid w:val="4B11183E"/>
    <w:rsid w:val="4B223A4B"/>
    <w:rsid w:val="4B4614E8"/>
    <w:rsid w:val="4B991F60"/>
    <w:rsid w:val="4B9D30D2"/>
    <w:rsid w:val="4BA61185"/>
    <w:rsid w:val="4BCF5981"/>
    <w:rsid w:val="4C20442F"/>
    <w:rsid w:val="4C712D0F"/>
    <w:rsid w:val="4CFF2296"/>
    <w:rsid w:val="4D113EE0"/>
    <w:rsid w:val="4D5D0D6B"/>
    <w:rsid w:val="4D9A5B1B"/>
    <w:rsid w:val="4DA62712"/>
    <w:rsid w:val="4DBC2A9E"/>
    <w:rsid w:val="4DE33966"/>
    <w:rsid w:val="4DEFF7C3"/>
    <w:rsid w:val="4E205B11"/>
    <w:rsid w:val="4E3228BA"/>
    <w:rsid w:val="4E816CDB"/>
    <w:rsid w:val="4EC72940"/>
    <w:rsid w:val="4EE03A01"/>
    <w:rsid w:val="4F165675"/>
    <w:rsid w:val="4F1F9224"/>
    <w:rsid w:val="4F4E65DA"/>
    <w:rsid w:val="4F563CC4"/>
    <w:rsid w:val="4F840831"/>
    <w:rsid w:val="4F912F4E"/>
    <w:rsid w:val="4F936CC6"/>
    <w:rsid w:val="4FAA18A4"/>
    <w:rsid w:val="4FEC63D6"/>
    <w:rsid w:val="4FF71243"/>
    <w:rsid w:val="502B6EFE"/>
    <w:rsid w:val="5043693E"/>
    <w:rsid w:val="5046147D"/>
    <w:rsid w:val="506D7517"/>
    <w:rsid w:val="50715259"/>
    <w:rsid w:val="507F724A"/>
    <w:rsid w:val="50B82E88"/>
    <w:rsid w:val="50D43A3A"/>
    <w:rsid w:val="510A2FB8"/>
    <w:rsid w:val="51383FC9"/>
    <w:rsid w:val="51477D68"/>
    <w:rsid w:val="51976F41"/>
    <w:rsid w:val="51AE6039"/>
    <w:rsid w:val="52193616"/>
    <w:rsid w:val="523302EC"/>
    <w:rsid w:val="525210BA"/>
    <w:rsid w:val="52976ACD"/>
    <w:rsid w:val="52F73DCF"/>
    <w:rsid w:val="535FF5C7"/>
    <w:rsid w:val="53605111"/>
    <w:rsid w:val="53DFF38A"/>
    <w:rsid w:val="540208BE"/>
    <w:rsid w:val="541E63AC"/>
    <w:rsid w:val="543C3DD0"/>
    <w:rsid w:val="54492049"/>
    <w:rsid w:val="546926EB"/>
    <w:rsid w:val="546E385E"/>
    <w:rsid w:val="547E32CE"/>
    <w:rsid w:val="55061CE8"/>
    <w:rsid w:val="5567BD2E"/>
    <w:rsid w:val="55774994"/>
    <w:rsid w:val="5579070C"/>
    <w:rsid w:val="558F6181"/>
    <w:rsid w:val="55BD596B"/>
    <w:rsid w:val="55FFD66C"/>
    <w:rsid w:val="565D1DDC"/>
    <w:rsid w:val="569C6DA8"/>
    <w:rsid w:val="569F0646"/>
    <w:rsid w:val="56A143BE"/>
    <w:rsid w:val="56B55774"/>
    <w:rsid w:val="56C37E91"/>
    <w:rsid w:val="56C63E25"/>
    <w:rsid w:val="56D025AE"/>
    <w:rsid w:val="56D54068"/>
    <w:rsid w:val="56DF0A43"/>
    <w:rsid w:val="56EFBB81"/>
    <w:rsid w:val="570B7A8A"/>
    <w:rsid w:val="57535465"/>
    <w:rsid w:val="575B631B"/>
    <w:rsid w:val="57715B3F"/>
    <w:rsid w:val="577B076B"/>
    <w:rsid w:val="577E64AD"/>
    <w:rsid w:val="579E26AC"/>
    <w:rsid w:val="57EF74D7"/>
    <w:rsid w:val="57F79EE6"/>
    <w:rsid w:val="589917F1"/>
    <w:rsid w:val="58AB1524"/>
    <w:rsid w:val="58BD6B62"/>
    <w:rsid w:val="58F85DEC"/>
    <w:rsid w:val="59123351"/>
    <w:rsid w:val="59232E69"/>
    <w:rsid w:val="595B4CF8"/>
    <w:rsid w:val="59DD74BB"/>
    <w:rsid w:val="59E36A9C"/>
    <w:rsid w:val="59E44CEE"/>
    <w:rsid w:val="5A9B2ED2"/>
    <w:rsid w:val="5AC42429"/>
    <w:rsid w:val="5AF66942"/>
    <w:rsid w:val="5AF947C9"/>
    <w:rsid w:val="5B1E2ED4"/>
    <w:rsid w:val="5B3752F1"/>
    <w:rsid w:val="5B8816A9"/>
    <w:rsid w:val="5BB10BFF"/>
    <w:rsid w:val="5BD60666"/>
    <w:rsid w:val="5BDDD3EB"/>
    <w:rsid w:val="5BE10DB9"/>
    <w:rsid w:val="5BF701EF"/>
    <w:rsid w:val="5C017216"/>
    <w:rsid w:val="5C2A2760"/>
    <w:rsid w:val="5C34538D"/>
    <w:rsid w:val="5C5C33A6"/>
    <w:rsid w:val="5CB63FF4"/>
    <w:rsid w:val="5D0B2591"/>
    <w:rsid w:val="5D1A4582"/>
    <w:rsid w:val="5D1E0517"/>
    <w:rsid w:val="5D1E2B8C"/>
    <w:rsid w:val="5D245401"/>
    <w:rsid w:val="5D335644"/>
    <w:rsid w:val="5D347D3A"/>
    <w:rsid w:val="5D430777"/>
    <w:rsid w:val="5D7FE1CF"/>
    <w:rsid w:val="5DDCF986"/>
    <w:rsid w:val="5DDF5392"/>
    <w:rsid w:val="5DEA664B"/>
    <w:rsid w:val="5DEFB326"/>
    <w:rsid w:val="5DF1C1F8"/>
    <w:rsid w:val="5DFF6321"/>
    <w:rsid w:val="5E4A533B"/>
    <w:rsid w:val="5E8C5954"/>
    <w:rsid w:val="5ECA3D86"/>
    <w:rsid w:val="5EE74865"/>
    <w:rsid w:val="5F225970"/>
    <w:rsid w:val="5F2436A2"/>
    <w:rsid w:val="5F3B25FD"/>
    <w:rsid w:val="5F751F44"/>
    <w:rsid w:val="5F7655A9"/>
    <w:rsid w:val="5F7F1ED1"/>
    <w:rsid w:val="5F8D3406"/>
    <w:rsid w:val="5F9F5213"/>
    <w:rsid w:val="5FBB7D26"/>
    <w:rsid w:val="5FC30F01"/>
    <w:rsid w:val="5FEE7BBD"/>
    <w:rsid w:val="5FFD0680"/>
    <w:rsid w:val="60114363"/>
    <w:rsid w:val="6017124D"/>
    <w:rsid w:val="60326087"/>
    <w:rsid w:val="60870181"/>
    <w:rsid w:val="60A725D1"/>
    <w:rsid w:val="60F021CA"/>
    <w:rsid w:val="6117566B"/>
    <w:rsid w:val="614B38A4"/>
    <w:rsid w:val="614E5143"/>
    <w:rsid w:val="61926DDD"/>
    <w:rsid w:val="619C4100"/>
    <w:rsid w:val="61A94127"/>
    <w:rsid w:val="61B50D1E"/>
    <w:rsid w:val="61C176C2"/>
    <w:rsid w:val="61CD250B"/>
    <w:rsid w:val="61F5736C"/>
    <w:rsid w:val="627806C9"/>
    <w:rsid w:val="627C183B"/>
    <w:rsid w:val="62917095"/>
    <w:rsid w:val="62D11B87"/>
    <w:rsid w:val="63387E58"/>
    <w:rsid w:val="635D506A"/>
    <w:rsid w:val="63844E4C"/>
    <w:rsid w:val="63A454EE"/>
    <w:rsid w:val="63B868A3"/>
    <w:rsid w:val="64412D3D"/>
    <w:rsid w:val="6459706F"/>
    <w:rsid w:val="645B2050"/>
    <w:rsid w:val="64634A61"/>
    <w:rsid w:val="648D1ADE"/>
    <w:rsid w:val="650E70C3"/>
    <w:rsid w:val="651C7414"/>
    <w:rsid w:val="65366619"/>
    <w:rsid w:val="65D976D1"/>
    <w:rsid w:val="667F18FA"/>
    <w:rsid w:val="66DF68E1"/>
    <w:rsid w:val="66E16111"/>
    <w:rsid w:val="670D8608"/>
    <w:rsid w:val="67184229"/>
    <w:rsid w:val="671BA49E"/>
    <w:rsid w:val="671E1113"/>
    <w:rsid w:val="67256946"/>
    <w:rsid w:val="67281F92"/>
    <w:rsid w:val="673D5A3D"/>
    <w:rsid w:val="674C5C80"/>
    <w:rsid w:val="6764746E"/>
    <w:rsid w:val="67670D0C"/>
    <w:rsid w:val="676C1E7F"/>
    <w:rsid w:val="67801DCE"/>
    <w:rsid w:val="67E22141"/>
    <w:rsid w:val="67F7A4A2"/>
    <w:rsid w:val="68897BB5"/>
    <w:rsid w:val="68B50FB4"/>
    <w:rsid w:val="68C63810"/>
    <w:rsid w:val="68DA42DA"/>
    <w:rsid w:val="694766FF"/>
    <w:rsid w:val="695A0B28"/>
    <w:rsid w:val="696C43FE"/>
    <w:rsid w:val="69801C11"/>
    <w:rsid w:val="699F29DF"/>
    <w:rsid w:val="69F83E9D"/>
    <w:rsid w:val="6A154A4F"/>
    <w:rsid w:val="6A4175F2"/>
    <w:rsid w:val="6A6257BB"/>
    <w:rsid w:val="6A75729C"/>
    <w:rsid w:val="6AA61B4B"/>
    <w:rsid w:val="6AC738AF"/>
    <w:rsid w:val="6B32518D"/>
    <w:rsid w:val="6B713F07"/>
    <w:rsid w:val="6B811C71"/>
    <w:rsid w:val="6B8C4DDB"/>
    <w:rsid w:val="6B9D2F4E"/>
    <w:rsid w:val="6BC86D61"/>
    <w:rsid w:val="6C111246"/>
    <w:rsid w:val="6C186A79"/>
    <w:rsid w:val="6C1D7BEB"/>
    <w:rsid w:val="6C303DC2"/>
    <w:rsid w:val="6C9500C9"/>
    <w:rsid w:val="6C9F2CF6"/>
    <w:rsid w:val="6CF30EBE"/>
    <w:rsid w:val="6D090170"/>
    <w:rsid w:val="6D0D4104"/>
    <w:rsid w:val="6D142D9C"/>
    <w:rsid w:val="6D4D62AE"/>
    <w:rsid w:val="6D605FE2"/>
    <w:rsid w:val="6D920165"/>
    <w:rsid w:val="6DBF6399"/>
    <w:rsid w:val="6DC04CD2"/>
    <w:rsid w:val="6DE9247B"/>
    <w:rsid w:val="6E292877"/>
    <w:rsid w:val="6E470F4F"/>
    <w:rsid w:val="6E600263"/>
    <w:rsid w:val="6E602011"/>
    <w:rsid w:val="6E7F2DDF"/>
    <w:rsid w:val="6EDF6BDF"/>
    <w:rsid w:val="6F082DD5"/>
    <w:rsid w:val="6F4F4560"/>
    <w:rsid w:val="6F5F8E38"/>
    <w:rsid w:val="6F6A3147"/>
    <w:rsid w:val="6F9B59F7"/>
    <w:rsid w:val="6FAC87A7"/>
    <w:rsid w:val="6FDB68CA"/>
    <w:rsid w:val="6FDF0420"/>
    <w:rsid w:val="6FF11ABB"/>
    <w:rsid w:val="6FFD7744"/>
    <w:rsid w:val="701D28B0"/>
    <w:rsid w:val="70333E81"/>
    <w:rsid w:val="708A05D2"/>
    <w:rsid w:val="70AD3FFC"/>
    <w:rsid w:val="71025602"/>
    <w:rsid w:val="71066EA0"/>
    <w:rsid w:val="71145A61"/>
    <w:rsid w:val="719E532A"/>
    <w:rsid w:val="719F6EF9"/>
    <w:rsid w:val="71A87F57"/>
    <w:rsid w:val="71EC42E8"/>
    <w:rsid w:val="71EE2A8F"/>
    <w:rsid w:val="72133F6A"/>
    <w:rsid w:val="72273572"/>
    <w:rsid w:val="72534367"/>
    <w:rsid w:val="72BC63B0"/>
    <w:rsid w:val="72C2329A"/>
    <w:rsid w:val="72DA05E4"/>
    <w:rsid w:val="72E17BC5"/>
    <w:rsid w:val="7315786E"/>
    <w:rsid w:val="733C327F"/>
    <w:rsid w:val="7346211D"/>
    <w:rsid w:val="73CC7A0E"/>
    <w:rsid w:val="73DC213A"/>
    <w:rsid w:val="73FF3CAA"/>
    <w:rsid w:val="74051691"/>
    <w:rsid w:val="74756A65"/>
    <w:rsid w:val="7480340D"/>
    <w:rsid w:val="74E41EB9"/>
    <w:rsid w:val="74EC45FF"/>
    <w:rsid w:val="75091655"/>
    <w:rsid w:val="752913AF"/>
    <w:rsid w:val="752B5127"/>
    <w:rsid w:val="753D4795"/>
    <w:rsid w:val="755521A4"/>
    <w:rsid w:val="75884FC3"/>
    <w:rsid w:val="759F248D"/>
    <w:rsid w:val="75AD3D8E"/>
    <w:rsid w:val="760E05AD"/>
    <w:rsid w:val="7617607C"/>
    <w:rsid w:val="762D5B02"/>
    <w:rsid w:val="764A3CD3"/>
    <w:rsid w:val="767F0642"/>
    <w:rsid w:val="76AD7DBE"/>
    <w:rsid w:val="76B13D52"/>
    <w:rsid w:val="76D37824"/>
    <w:rsid w:val="76F6D08A"/>
    <w:rsid w:val="770B16B4"/>
    <w:rsid w:val="774F87D5"/>
    <w:rsid w:val="775D3592"/>
    <w:rsid w:val="776FC1FE"/>
    <w:rsid w:val="777DF5A6"/>
    <w:rsid w:val="77977B45"/>
    <w:rsid w:val="77B2FB23"/>
    <w:rsid w:val="77B5517C"/>
    <w:rsid w:val="77BCCECE"/>
    <w:rsid w:val="77C35AEB"/>
    <w:rsid w:val="77C875A5"/>
    <w:rsid w:val="77F4039A"/>
    <w:rsid w:val="782C7B34"/>
    <w:rsid w:val="785E1CB7"/>
    <w:rsid w:val="787212BF"/>
    <w:rsid w:val="7894461A"/>
    <w:rsid w:val="78BECF30"/>
    <w:rsid w:val="78CD4747"/>
    <w:rsid w:val="792A3948"/>
    <w:rsid w:val="792F7436"/>
    <w:rsid w:val="79507852"/>
    <w:rsid w:val="796714DD"/>
    <w:rsid w:val="797F3C93"/>
    <w:rsid w:val="79997A47"/>
    <w:rsid w:val="79BA62D4"/>
    <w:rsid w:val="79D51740"/>
    <w:rsid w:val="79E96042"/>
    <w:rsid w:val="79EB30D7"/>
    <w:rsid w:val="7A020420"/>
    <w:rsid w:val="7A0F14BB"/>
    <w:rsid w:val="7A3E3B4E"/>
    <w:rsid w:val="7A637111"/>
    <w:rsid w:val="7AF9886D"/>
    <w:rsid w:val="7AFCADC3"/>
    <w:rsid w:val="7AFF05E5"/>
    <w:rsid w:val="7AFF1BAC"/>
    <w:rsid w:val="7B04F2CD"/>
    <w:rsid w:val="7B072975"/>
    <w:rsid w:val="7B164183"/>
    <w:rsid w:val="7B216ABD"/>
    <w:rsid w:val="7B382D52"/>
    <w:rsid w:val="7B3B48AC"/>
    <w:rsid w:val="7B65510B"/>
    <w:rsid w:val="7B7A62F7"/>
    <w:rsid w:val="7BAB1E82"/>
    <w:rsid w:val="7BB7781D"/>
    <w:rsid w:val="7BC7E826"/>
    <w:rsid w:val="7BDF6550"/>
    <w:rsid w:val="7BE75B20"/>
    <w:rsid w:val="7BF6FFC1"/>
    <w:rsid w:val="7BFE8763"/>
    <w:rsid w:val="7BFF4618"/>
    <w:rsid w:val="7BFF6D28"/>
    <w:rsid w:val="7BFFD48E"/>
    <w:rsid w:val="7C3C2310"/>
    <w:rsid w:val="7C436604"/>
    <w:rsid w:val="7C694787"/>
    <w:rsid w:val="7CAF663E"/>
    <w:rsid w:val="7CFD8B55"/>
    <w:rsid w:val="7D1DD064"/>
    <w:rsid w:val="7D6B7558"/>
    <w:rsid w:val="7D845D1C"/>
    <w:rsid w:val="7DBD2FDC"/>
    <w:rsid w:val="7DCE6ABE"/>
    <w:rsid w:val="7DDB3462"/>
    <w:rsid w:val="7DDC2D5C"/>
    <w:rsid w:val="7DE40569"/>
    <w:rsid w:val="7DEC566F"/>
    <w:rsid w:val="7DFEF661"/>
    <w:rsid w:val="7E002EC9"/>
    <w:rsid w:val="7E215319"/>
    <w:rsid w:val="7E551467"/>
    <w:rsid w:val="7E5C0A47"/>
    <w:rsid w:val="7E842EC9"/>
    <w:rsid w:val="7E8D29AE"/>
    <w:rsid w:val="7E9F26E2"/>
    <w:rsid w:val="7EA53ED9"/>
    <w:rsid w:val="7EBD9636"/>
    <w:rsid w:val="7ED607F9"/>
    <w:rsid w:val="7EE71269"/>
    <w:rsid w:val="7EEB65CE"/>
    <w:rsid w:val="7EF14CDF"/>
    <w:rsid w:val="7F0215EE"/>
    <w:rsid w:val="7F0B7D77"/>
    <w:rsid w:val="7F1575AB"/>
    <w:rsid w:val="7F1B26B0"/>
    <w:rsid w:val="7F1B3C6A"/>
    <w:rsid w:val="7F211349"/>
    <w:rsid w:val="7F6D4160"/>
    <w:rsid w:val="7F9D7AFE"/>
    <w:rsid w:val="7FB16CA6"/>
    <w:rsid w:val="7FBD7BAB"/>
    <w:rsid w:val="7FD55639"/>
    <w:rsid w:val="7FD76344"/>
    <w:rsid w:val="7FEB93A1"/>
    <w:rsid w:val="7FEC5DFB"/>
    <w:rsid w:val="7FEFCE23"/>
    <w:rsid w:val="7FFD1513"/>
    <w:rsid w:val="7FFEA8CE"/>
    <w:rsid w:val="7FFF3155"/>
    <w:rsid w:val="7FFF444A"/>
    <w:rsid w:val="8FF95D5A"/>
    <w:rsid w:val="91DF84DE"/>
    <w:rsid w:val="91FB6F9F"/>
    <w:rsid w:val="9EFD5275"/>
    <w:rsid w:val="9FEE3846"/>
    <w:rsid w:val="A5DAF697"/>
    <w:rsid w:val="A7F7E752"/>
    <w:rsid w:val="ADAB598F"/>
    <w:rsid w:val="AFFE4DB0"/>
    <w:rsid w:val="AFFF26D7"/>
    <w:rsid w:val="B5ABBAF5"/>
    <w:rsid w:val="B7F7F313"/>
    <w:rsid w:val="B9577CC3"/>
    <w:rsid w:val="BBEBB51A"/>
    <w:rsid w:val="BDCD1A3A"/>
    <w:rsid w:val="BEDE18F1"/>
    <w:rsid w:val="BEFE8135"/>
    <w:rsid w:val="BF2E4AF8"/>
    <w:rsid w:val="BFAE6378"/>
    <w:rsid w:val="BFB5CF51"/>
    <w:rsid w:val="BFDF7E43"/>
    <w:rsid w:val="BFE7B9E2"/>
    <w:rsid w:val="BFF36F65"/>
    <w:rsid w:val="CBBFF55E"/>
    <w:rsid w:val="CBFD506A"/>
    <w:rsid w:val="CDF661A8"/>
    <w:rsid w:val="D6DEAD49"/>
    <w:rsid w:val="D7FFD851"/>
    <w:rsid w:val="D98E1965"/>
    <w:rsid w:val="D9FF6430"/>
    <w:rsid w:val="DB6F122A"/>
    <w:rsid w:val="DBBD5E44"/>
    <w:rsid w:val="DBED6F65"/>
    <w:rsid w:val="DBF792C6"/>
    <w:rsid w:val="DBF9F0CB"/>
    <w:rsid w:val="DDFDCB02"/>
    <w:rsid w:val="E54A57A5"/>
    <w:rsid w:val="E6713CC5"/>
    <w:rsid w:val="E70E8D95"/>
    <w:rsid w:val="EB230116"/>
    <w:rsid w:val="EB469401"/>
    <w:rsid w:val="EBFFC8D0"/>
    <w:rsid w:val="EDDB91E8"/>
    <w:rsid w:val="EEDA26B1"/>
    <w:rsid w:val="EEFCB6FE"/>
    <w:rsid w:val="EF5B61B7"/>
    <w:rsid w:val="EFB6354B"/>
    <w:rsid w:val="EFBDAE0A"/>
    <w:rsid w:val="EFD7AB66"/>
    <w:rsid w:val="EFF73E38"/>
    <w:rsid w:val="EFFB82D4"/>
    <w:rsid w:val="EFFE487F"/>
    <w:rsid w:val="F16F3FEA"/>
    <w:rsid w:val="F20C164B"/>
    <w:rsid w:val="F3D71DDB"/>
    <w:rsid w:val="F3EF2A20"/>
    <w:rsid w:val="F3F9E5E6"/>
    <w:rsid w:val="F53378FB"/>
    <w:rsid w:val="F5FFB8C4"/>
    <w:rsid w:val="F6EE86DE"/>
    <w:rsid w:val="F6FF2025"/>
    <w:rsid w:val="F7DA9B23"/>
    <w:rsid w:val="F7DB5FBA"/>
    <w:rsid w:val="F7DF720B"/>
    <w:rsid w:val="F7EBB849"/>
    <w:rsid w:val="F9B371E5"/>
    <w:rsid w:val="FAEFA91E"/>
    <w:rsid w:val="FAFED46B"/>
    <w:rsid w:val="FB4B5C68"/>
    <w:rsid w:val="FB5F65C5"/>
    <w:rsid w:val="FBBE3081"/>
    <w:rsid w:val="FBBE51E8"/>
    <w:rsid w:val="FBBEA04C"/>
    <w:rsid w:val="FBBFA171"/>
    <w:rsid w:val="FBE72047"/>
    <w:rsid w:val="FC7AE785"/>
    <w:rsid w:val="FC9739FD"/>
    <w:rsid w:val="FCC797BA"/>
    <w:rsid w:val="FCFFBC24"/>
    <w:rsid w:val="FD396616"/>
    <w:rsid w:val="FD3F4433"/>
    <w:rsid w:val="FDBF3E60"/>
    <w:rsid w:val="FDEF16A2"/>
    <w:rsid w:val="FDEF9930"/>
    <w:rsid w:val="FDFF12CF"/>
    <w:rsid w:val="FDFFA63F"/>
    <w:rsid w:val="FDFFBF97"/>
    <w:rsid w:val="FE17E155"/>
    <w:rsid w:val="FEBBE906"/>
    <w:rsid w:val="FEFD6981"/>
    <w:rsid w:val="FEFE1654"/>
    <w:rsid w:val="FF1B4081"/>
    <w:rsid w:val="FF7887BE"/>
    <w:rsid w:val="FF7CDD01"/>
    <w:rsid w:val="FF7FEB24"/>
    <w:rsid w:val="FF8E08A9"/>
    <w:rsid w:val="FF9C3AF7"/>
    <w:rsid w:val="FFAF3ACC"/>
    <w:rsid w:val="FFB16D27"/>
    <w:rsid w:val="FFB72B0A"/>
    <w:rsid w:val="FFBB0DC3"/>
    <w:rsid w:val="FFBE70AE"/>
    <w:rsid w:val="FFD73B8E"/>
    <w:rsid w:val="FFDB21DD"/>
    <w:rsid w:val="FFE3F617"/>
    <w:rsid w:val="FFEF48CC"/>
    <w:rsid w:val="FFF34BCA"/>
    <w:rsid w:val="FFF9EC63"/>
    <w:rsid w:val="FFFF0B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iPriority="99"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440" w:firstLineChars="200"/>
      <w:jc w:val="both"/>
    </w:pPr>
    <w:rPr>
      <w:rFonts w:ascii="仿宋" w:hAnsi="仿宋" w:eastAsia="仿宋" w:cstheme="minorBidi"/>
      <w:color w:val="000000" w:themeColor="text1"/>
      <w:sz w:val="32"/>
      <w:szCs w:val="22"/>
      <w:lang w:val="en-US" w:eastAsia="en-US" w:bidi="ar-SA"/>
    </w:rPr>
  </w:style>
  <w:style w:type="paragraph" w:styleId="4">
    <w:name w:val="heading 1"/>
    <w:basedOn w:val="1"/>
    <w:next w:val="1"/>
    <w:link w:val="32"/>
    <w:qFormat/>
    <w:uiPriority w:val="9"/>
    <w:pPr>
      <w:keepNext/>
      <w:keepLines/>
      <w:outlineLvl w:val="0"/>
    </w:pPr>
    <w:rPr>
      <w:rFonts w:ascii="黑体" w:hAnsi="黑体" w:eastAsia="黑体" w:cstheme="majorBidi"/>
      <w:bCs/>
      <w:szCs w:val="28"/>
    </w:rPr>
  </w:style>
  <w:style w:type="paragraph" w:styleId="5">
    <w:name w:val="heading 2"/>
    <w:basedOn w:val="1"/>
    <w:next w:val="1"/>
    <w:link w:val="33"/>
    <w:unhideWhenUsed/>
    <w:qFormat/>
    <w:uiPriority w:val="9"/>
    <w:pPr>
      <w:keepNext/>
      <w:keepLines/>
      <w:outlineLvl w:val="1"/>
    </w:pPr>
    <w:rPr>
      <w:rFonts w:ascii="楷体" w:hAnsi="楷体" w:eastAsia="楷体" w:cstheme="majorBidi"/>
      <w:b/>
      <w:bCs/>
      <w:szCs w:val="26"/>
    </w:rPr>
  </w:style>
  <w:style w:type="paragraph" w:styleId="6">
    <w:name w:val="heading 3"/>
    <w:basedOn w:val="1"/>
    <w:next w:val="1"/>
    <w:link w:val="34"/>
    <w:unhideWhenUsed/>
    <w:qFormat/>
    <w:uiPriority w:val="9"/>
    <w:pPr>
      <w:keepNext/>
      <w:keepLines/>
      <w:outlineLvl w:val="2"/>
    </w:pPr>
    <w:rPr>
      <w:rFonts w:cstheme="majorBidi"/>
      <w:b/>
      <w:bCs/>
    </w:rPr>
  </w:style>
  <w:style w:type="paragraph" w:styleId="7">
    <w:name w:val="heading 4"/>
    <w:basedOn w:val="1"/>
    <w:next w:val="1"/>
    <w:link w:val="35"/>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73"/>
    <w:qFormat/>
    <w:uiPriority w:val="0"/>
    <w:pPr>
      <w:ind w:firstLine="420"/>
    </w:pPr>
  </w:style>
  <w:style w:type="paragraph" w:styleId="3">
    <w:name w:val="Body Text Indent"/>
    <w:basedOn w:val="1"/>
    <w:qFormat/>
    <w:uiPriority w:val="0"/>
    <w:pPr>
      <w:spacing w:after="120"/>
      <w:ind w:left="420" w:leftChars="200"/>
    </w:pPr>
  </w:style>
  <w:style w:type="paragraph" w:styleId="8">
    <w:name w:val="Normal Indent"/>
    <w:basedOn w:val="1"/>
    <w:unhideWhenUsed/>
    <w:qFormat/>
    <w:uiPriority w:val="99"/>
    <w:pPr>
      <w:ind w:left="720"/>
    </w:pPr>
  </w:style>
  <w:style w:type="paragraph" w:styleId="9">
    <w:name w:val="Document Map"/>
    <w:basedOn w:val="1"/>
    <w:link w:val="69"/>
    <w:semiHidden/>
    <w:unhideWhenUsed/>
    <w:qFormat/>
    <w:uiPriority w:val="99"/>
    <w:rPr>
      <w:rFonts w:ascii="宋体" w:eastAsia="宋体"/>
      <w:sz w:val="18"/>
      <w:szCs w:val="18"/>
    </w:rPr>
  </w:style>
  <w:style w:type="paragraph" w:styleId="10">
    <w:name w:val="annotation text"/>
    <w:basedOn w:val="1"/>
    <w:link w:val="66"/>
    <w:unhideWhenUsed/>
    <w:qFormat/>
    <w:uiPriority w:val="0"/>
  </w:style>
  <w:style w:type="paragraph" w:styleId="11">
    <w:name w:val="Body Text"/>
    <w:basedOn w:val="1"/>
    <w:link w:val="71"/>
    <w:semiHidden/>
    <w:unhideWhenUsed/>
    <w:qFormat/>
    <w:uiPriority w:val="99"/>
    <w:pPr>
      <w:spacing w:after="120"/>
    </w:pPr>
  </w:style>
  <w:style w:type="paragraph" w:styleId="12">
    <w:name w:val="toc 3"/>
    <w:basedOn w:val="1"/>
    <w:next w:val="1"/>
    <w:unhideWhenUsed/>
    <w:qFormat/>
    <w:uiPriority w:val="39"/>
    <w:pPr>
      <w:ind w:left="840" w:leftChars="400"/>
    </w:pPr>
    <w:rPr>
      <w:rFonts w:ascii="Calibri" w:hAnsi="Calibri" w:eastAsia="Calibri" w:cs="Times New Roman"/>
      <w:lang w:eastAsia="zh-CN"/>
    </w:rPr>
  </w:style>
  <w:style w:type="paragraph" w:styleId="13">
    <w:name w:val="Plain Text"/>
    <w:basedOn w:val="1"/>
    <w:link w:val="60"/>
    <w:unhideWhenUsed/>
    <w:qFormat/>
    <w:uiPriority w:val="99"/>
    <w:pPr>
      <w:widowControl w:val="0"/>
    </w:pPr>
    <w:rPr>
      <w:rFonts w:hint="eastAsia" w:ascii="宋体" w:hAnsi="Courier New" w:eastAsia="宋体" w:cs="Times New Roman"/>
      <w:kern w:val="2"/>
      <w:sz w:val="21"/>
      <w:szCs w:val="21"/>
      <w:lang w:eastAsia="zh-CN"/>
    </w:rPr>
  </w:style>
  <w:style w:type="paragraph" w:styleId="14">
    <w:name w:val="Balloon Text"/>
    <w:basedOn w:val="1"/>
    <w:link w:val="63"/>
    <w:unhideWhenUsed/>
    <w:qFormat/>
    <w:uiPriority w:val="99"/>
    <w:pPr>
      <w:spacing w:line="240" w:lineRule="auto"/>
    </w:pPr>
    <w:rPr>
      <w:sz w:val="18"/>
      <w:szCs w:val="18"/>
    </w:rPr>
  </w:style>
  <w:style w:type="paragraph" w:styleId="15">
    <w:name w:val="footer"/>
    <w:basedOn w:val="1"/>
    <w:unhideWhenUsed/>
    <w:qFormat/>
    <w:uiPriority w:val="99"/>
    <w:pPr>
      <w:tabs>
        <w:tab w:val="center" w:pos="4153"/>
        <w:tab w:val="right" w:pos="8306"/>
      </w:tabs>
      <w:snapToGrid w:val="0"/>
    </w:pPr>
    <w:rPr>
      <w:sz w:val="18"/>
    </w:rPr>
  </w:style>
  <w:style w:type="paragraph" w:styleId="16">
    <w:name w:val="header"/>
    <w:basedOn w:val="1"/>
    <w:link w:val="31"/>
    <w:unhideWhenUsed/>
    <w:qFormat/>
    <w:uiPriority w:val="99"/>
    <w:pPr>
      <w:tabs>
        <w:tab w:val="center" w:pos="4680"/>
        <w:tab w:val="right" w:pos="9360"/>
      </w:tabs>
    </w:pPr>
  </w:style>
  <w:style w:type="paragraph" w:styleId="17">
    <w:name w:val="toc 1"/>
    <w:basedOn w:val="1"/>
    <w:next w:val="1"/>
    <w:unhideWhenUsed/>
    <w:qFormat/>
    <w:uiPriority w:val="39"/>
  </w:style>
  <w:style w:type="paragraph" w:styleId="18">
    <w:name w:val="Subtitle"/>
    <w:basedOn w:val="1"/>
    <w:next w:val="1"/>
    <w:link w:val="36"/>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19">
    <w:name w:val="toc 2"/>
    <w:basedOn w:val="1"/>
    <w:next w:val="1"/>
    <w:unhideWhenUsed/>
    <w:qFormat/>
    <w:uiPriority w:val="39"/>
    <w:pPr>
      <w:ind w:left="420" w:leftChars="200"/>
    </w:pPr>
    <w:rPr>
      <w:rFonts w:ascii="Calibri" w:hAnsi="Calibri" w:eastAsia="Calibri" w:cs="Times New Roman"/>
      <w:lang w:eastAsia="zh-CN"/>
    </w:rPr>
  </w:style>
  <w:style w:type="paragraph" w:styleId="20">
    <w:name w:val="Normal (Web)"/>
    <w:basedOn w:val="1"/>
    <w:unhideWhenUsed/>
    <w:qFormat/>
    <w:uiPriority w:val="99"/>
    <w:rPr>
      <w:sz w:val="24"/>
    </w:rPr>
  </w:style>
  <w:style w:type="paragraph" w:styleId="21">
    <w:name w:val="Title"/>
    <w:basedOn w:val="1"/>
    <w:next w:val="1"/>
    <w:link w:val="37"/>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22">
    <w:name w:val="annotation subject"/>
    <w:basedOn w:val="10"/>
    <w:next w:val="10"/>
    <w:link w:val="67"/>
    <w:unhideWhenUsed/>
    <w:qFormat/>
    <w:uiPriority w:val="99"/>
    <w:rPr>
      <w:b/>
      <w:bCs/>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6">
    <w:name w:val="Strong"/>
    <w:basedOn w:val="25"/>
    <w:unhideWhenUsed/>
    <w:qFormat/>
    <w:uiPriority w:val="99"/>
    <w:rPr>
      <w:b/>
    </w:rPr>
  </w:style>
  <w:style w:type="character" w:styleId="27">
    <w:name w:val="FollowedHyperlink"/>
    <w:basedOn w:val="25"/>
    <w:unhideWhenUsed/>
    <w:qFormat/>
    <w:uiPriority w:val="99"/>
    <w:rPr>
      <w:color w:val="800080"/>
      <w:u w:val="single"/>
    </w:rPr>
  </w:style>
  <w:style w:type="character" w:styleId="28">
    <w:name w:val="Emphasis"/>
    <w:basedOn w:val="25"/>
    <w:qFormat/>
    <w:uiPriority w:val="20"/>
    <w:rPr>
      <w:i/>
      <w:iCs/>
    </w:rPr>
  </w:style>
  <w:style w:type="character" w:styleId="29">
    <w:name w:val="Hyperlink"/>
    <w:basedOn w:val="25"/>
    <w:unhideWhenUsed/>
    <w:qFormat/>
    <w:uiPriority w:val="99"/>
    <w:rPr>
      <w:color w:val="0000FF" w:themeColor="hyperlink"/>
      <w:u w:val="single"/>
    </w:rPr>
  </w:style>
  <w:style w:type="character" w:styleId="30">
    <w:name w:val="annotation reference"/>
    <w:basedOn w:val="25"/>
    <w:unhideWhenUsed/>
    <w:qFormat/>
    <w:uiPriority w:val="99"/>
    <w:rPr>
      <w:sz w:val="21"/>
      <w:szCs w:val="21"/>
    </w:rPr>
  </w:style>
  <w:style w:type="character" w:customStyle="1" w:styleId="31">
    <w:name w:val="页眉 字符"/>
    <w:basedOn w:val="25"/>
    <w:link w:val="16"/>
    <w:qFormat/>
    <w:uiPriority w:val="99"/>
  </w:style>
  <w:style w:type="character" w:customStyle="1" w:styleId="32">
    <w:name w:val="标题 1 字符"/>
    <w:basedOn w:val="25"/>
    <w:link w:val="4"/>
    <w:qFormat/>
    <w:uiPriority w:val="9"/>
    <w:rPr>
      <w:rFonts w:ascii="黑体" w:hAnsi="黑体" w:eastAsia="黑体" w:cstheme="majorBidi"/>
      <w:bCs/>
      <w:color w:val="000000" w:themeColor="text1"/>
      <w:sz w:val="32"/>
      <w:szCs w:val="28"/>
    </w:rPr>
  </w:style>
  <w:style w:type="character" w:customStyle="1" w:styleId="33">
    <w:name w:val="标题 2 字符"/>
    <w:basedOn w:val="25"/>
    <w:link w:val="5"/>
    <w:qFormat/>
    <w:uiPriority w:val="9"/>
    <w:rPr>
      <w:rFonts w:ascii="楷体" w:hAnsi="楷体" w:eastAsia="楷体" w:cstheme="majorBidi"/>
      <w:b/>
      <w:bCs/>
      <w:color w:val="000000" w:themeColor="text1"/>
      <w:sz w:val="32"/>
      <w:szCs w:val="26"/>
    </w:rPr>
  </w:style>
  <w:style w:type="character" w:customStyle="1" w:styleId="34">
    <w:name w:val="标题 3 字符"/>
    <w:basedOn w:val="25"/>
    <w:link w:val="6"/>
    <w:qFormat/>
    <w:uiPriority w:val="9"/>
    <w:rPr>
      <w:rFonts w:ascii="仿宋" w:hAnsi="仿宋" w:eastAsia="仿宋" w:cstheme="majorBidi"/>
      <w:b/>
      <w:bCs/>
      <w:color w:val="000000" w:themeColor="text1"/>
    </w:rPr>
  </w:style>
  <w:style w:type="character" w:customStyle="1" w:styleId="35">
    <w:name w:val="标题 4 字符"/>
    <w:basedOn w:val="25"/>
    <w:link w:val="7"/>
    <w:qFormat/>
    <w:uiPriority w:val="9"/>
    <w:rPr>
      <w:rFonts w:asciiTheme="majorHAnsi" w:hAnsiTheme="majorHAnsi" w:eastAsiaTheme="majorEastAsia" w:cstheme="majorBidi"/>
      <w:b/>
      <w:bCs/>
      <w:i/>
      <w:iCs/>
      <w:color w:val="4F81BD" w:themeColor="accent1"/>
    </w:rPr>
  </w:style>
  <w:style w:type="character" w:customStyle="1" w:styleId="36">
    <w:name w:val="副标题 字符"/>
    <w:basedOn w:val="25"/>
    <w:link w:val="18"/>
    <w:qFormat/>
    <w:uiPriority w:val="11"/>
    <w:rPr>
      <w:rFonts w:asciiTheme="majorHAnsi" w:hAnsiTheme="majorHAnsi" w:eastAsiaTheme="majorEastAsia" w:cstheme="majorBidi"/>
      <w:i/>
      <w:iCs/>
      <w:color w:val="4F81BD" w:themeColor="accent1"/>
      <w:spacing w:val="15"/>
      <w:sz w:val="24"/>
      <w:szCs w:val="24"/>
    </w:rPr>
  </w:style>
  <w:style w:type="character" w:customStyle="1" w:styleId="37">
    <w:name w:val="标题 字符"/>
    <w:basedOn w:val="25"/>
    <w:link w:val="21"/>
    <w:qFormat/>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38">
    <w:name w:val="一、项目概况"/>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39">
    <w:name w:val="二、评价思路"/>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40">
    <w:name w:val="（一）评价目的"/>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1">
    <w:name w:val="（二）评价依据"/>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2">
    <w:name w:val="（三）评价时间段"/>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3">
    <w:name w:val="三、绩效评价指标体系"/>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44">
    <w:name w:val="（一）指标体系设计的总体思路"/>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5">
    <w:name w:val="（二）指标体系"/>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6">
    <w:name w:val="（三）各项指标定义、评价标准、评分细则"/>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7">
    <w:name w:val="四、社会调查方案"/>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48">
    <w:name w:val="（一）问卷调查方案"/>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49">
    <w:name w:val="（二）访谈方案"/>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50">
    <w:name w:val="（三）合规性检查方案"/>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51">
    <w:name w:val="五、评价的组织实施"/>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52">
    <w:name w:val="（一）人员分工"/>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53">
    <w:name w:val="（二）评价时间及主要工作进程安排"/>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54">
    <w:name w:val="（三）内部控制制度"/>
    <w:unhideWhenUsed/>
    <w:qFormat/>
    <w:uiPriority w:val="2"/>
    <w:pPr>
      <w:outlineLvl w:val="2"/>
    </w:pPr>
    <w:rPr>
      <w:rFonts w:ascii="Times New Roman" w:hAnsi="Times New Roman" w:eastAsia="宋体" w:cs="Times New Roman"/>
      <w:sz w:val="21"/>
      <w:szCs w:val="22"/>
      <w:lang w:val="en-US" w:eastAsia="zh-CN" w:bidi="ar-SA"/>
    </w:rPr>
  </w:style>
  <w:style w:type="paragraph" w:customStyle="1" w:styleId="55">
    <w:name w:val="附件1 评价工作底稿"/>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56">
    <w:name w:val="附件2 问卷调查方案"/>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57">
    <w:name w:val="附件3 访谈方案"/>
    <w:unhideWhenUsed/>
    <w:qFormat/>
    <w:uiPriority w:val="1"/>
    <w:pPr>
      <w:outlineLvl w:val="1"/>
    </w:pPr>
    <w:rPr>
      <w:rFonts w:ascii="Times New Roman" w:hAnsi="Times New Roman" w:eastAsia="宋体" w:cs="Times New Roman"/>
      <w:sz w:val="21"/>
      <w:szCs w:val="22"/>
      <w:lang w:val="en-US" w:eastAsia="zh-CN" w:bidi="ar-SA"/>
    </w:rPr>
  </w:style>
  <w:style w:type="paragraph" w:customStyle="1" w:styleId="58">
    <w:name w:val="附件4 合规性检查表"/>
    <w:unhideWhenUsed/>
    <w:qFormat/>
    <w:uiPriority w:val="1"/>
    <w:pPr>
      <w:outlineLvl w:val="1"/>
    </w:pPr>
    <w:rPr>
      <w:rFonts w:ascii="Times New Roman" w:hAnsi="Times New Roman" w:eastAsia="宋体" w:cs="Times New Roman"/>
      <w:sz w:val="21"/>
      <w:szCs w:val="22"/>
      <w:lang w:val="en-US" w:eastAsia="zh-CN" w:bidi="ar-SA"/>
    </w:rPr>
  </w:style>
  <w:style w:type="character" w:customStyle="1" w:styleId="59">
    <w:name w:val="纯文本 Char1"/>
    <w:basedOn w:val="25"/>
    <w:qFormat/>
    <w:uiPriority w:val="0"/>
    <w:rPr>
      <w:rFonts w:hint="eastAsia" w:ascii="宋体" w:hAnsi="Courier New" w:eastAsia="宋体" w:cs="Courier New"/>
      <w:kern w:val="2"/>
      <w:sz w:val="21"/>
      <w:szCs w:val="21"/>
    </w:rPr>
  </w:style>
  <w:style w:type="character" w:customStyle="1" w:styleId="60">
    <w:name w:val="纯文本 字符"/>
    <w:basedOn w:val="25"/>
    <w:link w:val="13"/>
    <w:qFormat/>
    <w:uiPriority w:val="0"/>
    <w:rPr>
      <w:rFonts w:hint="eastAsia" w:ascii="宋体" w:hAnsi="Courier New" w:eastAsia="宋体" w:cs="Courier New"/>
      <w:kern w:val="2"/>
      <w:sz w:val="21"/>
      <w:szCs w:val="21"/>
    </w:rPr>
  </w:style>
  <w:style w:type="character" w:customStyle="1" w:styleId="61">
    <w:name w:val="font71"/>
    <w:basedOn w:val="25"/>
    <w:qFormat/>
    <w:uiPriority w:val="0"/>
    <w:rPr>
      <w:rFonts w:hint="default" w:ascii="Times New Roman" w:hAnsi="Times New Roman" w:cs="Times New Roman"/>
      <w:color w:val="000000"/>
      <w:sz w:val="22"/>
      <w:szCs w:val="22"/>
      <w:u w:val="none"/>
    </w:rPr>
  </w:style>
  <w:style w:type="character" w:customStyle="1" w:styleId="62">
    <w:name w:val="font61"/>
    <w:basedOn w:val="25"/>
    <w:qFormat/>
    <w:uiPriority w:val="0"/>
    <w:rPr>
      <w:rFonts w:hint="default" w:ascii="monospace" w:eastAsia="monospace" w:cs="monospace"/>
      <w:color w:val="000000"/>
      <w:sz w:val="22"/>
      <w:szCs w:val="22"/>
      <w:u w:val="none"/>
    </w:rPr>
  </w:style>
  <w:style w:type="character" w:customStyle="1" w:styleId="63">
    <w:name w:val="批注框文本 字符"/>
    <w:basedOn w:val="25"/>
    <w:link w:val="14"/>
    <w:semiHidden/>
    <w:qFormat/>
    <w:uiPriority w:val="99"/>
    <w:rPr>
      <w:rFonts w:asciiTheme="minorHAnsi" w:hAnsiTheme="minorHAnsi" w:eastAsiaTheme="minorHAnsi" w:cstheme="minorBidi"/>
      <w:sz w:val="18"/>
      <w:szCs w:val="18"/>
      <w:lang w:eastAsia="en-US"/>
    </w:rPr>
  </w:style>
  <w:style w:type="paragraph" w:customStyle="1" w:styleId="64">
    <w:name w:val="TOC 标题1"/>
    <w:basedOn w:val="4"/>
    <w:next w:val="1"/>
    <w:unhideWhenUsed/>
    <w:qFormat/>
    <w:uiPriority w:val="39"/>
    <w:pPr>
      <w:outlineLvl w:val="9"/>
    </w:pPr>
    <w:rPr>
      <w:lang w:eastAsia="zh-CN"/>
    </w:rPr>
  </w:style>
  <w:style w:type="paragraph" w:customStyle="1" w:styleId="65">
    <w:name w:val="TOC 标题2"/>
    <w:basedOn w:val="4"/>
    <w:next w:val="1"/>
    <w:unhideWhenUsed/>
    <w:qFormat/>
    <w:uiPriority w:val="39"/>
    <w:pPr>
      <w:outlineLvl w:val="9"/>
    </w:pPr>
    <w:rPr>
      <w:lang w:eastAsia="zh-CN"/>
    </w:rPr>
  </w:style>
  <w:style w:type="character" w:customStyle="1" w:styleId="66">
    <w:name w:val="批注文字 字符"/>
    <w:basedOn w:val="25"/>
    <w:link w:val="10"/>
    <w:qFormat/>
    <w:uiPriority w:val="0"/>
    <w:rPr>
      <w:rFonts w:asciiTheme="minorHAnsi" w:hAnsiTheme="minorHAnsi" w:eastAsiaTheme="minorHAnsi" w:cstheme="minorBidi"/>
      <w:sz w:val="22"/>
      <w:szCs w:val="22"/>
      <w:lang w:eastAsia="en-US"/>
    </w:rPr>
  </w:style>
  <w:style w:type="character" w:customStyle="1" w:styleId="67">
    <w:name w:val="批注主题 字符"/>
    <w:basedOn w:val="66"/>
    <w:link w:val="22"/>
    <w:semiHidden/>
    <w:qFormat/>
    <w:uiPriority w:val="99"/>
    <w:rPr>
      <w:rFonts w:asciiTheme="minorHAnsi" w:hAnsiTheme="minorHAnsi" w:eastAsiaTheme="minorHAnsi" w:cstheme="minorBidi"/>
      <w:b/>
      <w:bCs/>
      <w:sz w:val="22"/>
      <w:szCs w:val="22"/>
      <w:lang w:eastAsia="en-US"/>
    </w:rPr>
  </w:style>
  <w:style w:type="paragraph" w:customStyle="1" w:styleId="68">
    <w:name w:val="修订1"/>
    <w:hidden/>
    <w:semiHidden/>
    <w:qFormat/>
    <w:uiPriority w:val="99"/>
    <w:rPr>
      <w:rFonts w:asciiTheme="minorHAnsi" w:hAnsiTheme="minorHAnsi" w:eastAsiaTheme="minorHAnsi" w:cstheme="minorBidi"/>
      <w:sz w:val="22"/>
      <w:szCs w:val="22"/>
      <w:lang w:val="en-US" w:eastAsia="en-US" w:bidi="ar-SA"/>
    </w:rPr>
  </w:style>
  <w:style w:type="character" w:customStyle="1" w:styleId="69">
    <w:name w:val="文档结构图 字符"/>
    <w:basedOn w:val="25"/>
    <w:link w:val="9"/>
    <w:semiHidden/>
    <w:qFormat/>
    <w:uiPriority w:val="99"/>
    <w:rPr>
      <w:rFonts w:ascii="宋体" w:hAnsi="仿宋" w:cstheme="minorBidi"/>
      <w:color w:val="000000" w:themeColor="text1"/>
      <w:sz w:val="18"/>
      <w:szCs w:val="18"/>
      <w:lang w:eastAsia="en-US"/>
    </w:rPr>
  </w:style>
  <w:style w:type="paragraph" w:styleId="70">
    <w:name w:val="List Paragraph"/>
    <w:basedOn w:val="1"/>
    <w:unhideWhenUsed/>
    <w:qFormat/>
    <w:uiPriority w:val="99"/>
    <w:pPr>
      <w:ind w:firstLine="420"/>
    </w:pPr>
  </w:style>
  <w:style w:type="character" w:customStyle="1" w:styleId="71">
    <w:name w:val="正文文本 字符"/>
    <w:basedOn w:val="25"/>
    <w:link w:val="11"/>
    <w:semiHidden/>
    <w:qFormat/>
    <w:uiPriority w:val="99"/>
    <w:rPr>
      <w:rFonts w:ascii="仿宋" w:hAnsi="仿宋" w:eastAsia="仿宋" w:cstheme="minorBidi"/>
      <w:color w:val="000000" w:themeColor="text1"/>
      <w:sz w:val="32"/>
      <w:szCs w:val="22"/>
      <w:lang w:eastAsia="en-US"/>
    </w:rPr>
  </w:style>
  <w:style w:type="table" w:customStyle="1" w:styleId="72">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73">
    <w:name w:val="正文文本首行缩进 2 字符"/>
    <w:basedOn w:val="25"/>
    <w:link w:val="2"/>
    <w:qFormat/>
    <w:uiPriority w:val="0"/>
    <w:rPr>
      <w:rFonts w:ascii="仿宋" w:hAnsi="仿宋" w:eastAsia="仿宋" w:cstheme="minorBidi"/>
      <w:color w:val="000000" w:themeColor="text1"/>
      <w:sz w:val="32"/>
      <w:szCs w:val="22"/>
      <w:lang w:eastAsia="en-US"/>
    </w:rPr>
  </w:style>
  <w:style w:type="paragraph" w:customStyle="1" w:styleId="74">
    <w:name w:val="TOC 标题3"/>
    <w:basedOn w:val="4"/>
    <w:next w:val="1"/>
    <w:unhideWhenUsed/>
    <w:qFormat/>
    <w:uiPriority w:val="39"/>
    <w:pPr>
      <w:spacing w:before="240" w:line="259" w:lineRule="auto"/>
      <w:ind w:firstLine="0" w:firstLineChars="0"/>
      <w:jc w:val="left"/>
      <w:outlineLvl w:val="9"/>
    </w:pPr>
    <w:rPr>
      <w:rFonts w:asciiTheme="majorHAnsi" w:hAnsiTheme="majorHAnsi" w:eastAsiaTheme="majorEastAsia"/>
      <w:bCs w:val="0"/>
      <w:color w:val="366091" w:themeColor="accent1" w:themeShade="BF"/>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7.jpeg"/><Relationship Id="rId38" Type="http://schemas.openxmlformats.org/officeDocument/2006/relationships/image" Target="media/image6.jpeg"/><Relationship Id="rId37" Type="http://schemas.openxmlformats.org/officeDocument/2006/relationships/image" Target="media/image5.jpeg"/><Relationship Id="rId36" Type="http://schemas.openxmlformats.org/officeDocument/2006/relationships/image" Target="media/image4.jpeg"/><Relationship Id="rId35" Type="http://schemas.openxmlformats.org/officeDocument/2006/relationships/image" Target="media/image3.jpeg"/><Relationship Id="rId34" Type="http://schemas.openxmlformats.org/officeDocument/2006/relationships/image" Target="media/image2.jpeg"/><Relationship Id="rId33" Type="http://schemas.openxmlformats.org/officeDocument/2006/relationships/chart" Target="charts/chart20.xml"/><Relationship Id="rId32" Type="http://schemas.openxmlformats.org/officeDocument/2006/relationships/chart" Target="charts/chart19.xml"/><Relationship Id="rId31" Type="http://schemas.openxmlformats.org/officeDocument/2006/relationships/chart" Target="charts/chart18.xml"/><Relationship Id="rId30" Type="http://schemas.openxmlformats.org/officeDocument/2006/relationships/chart" Target="charts/chart17.xml"/><Relationship Id="rId3" Type="http://schemas.openxmlformats.org/officeDocument/2006/relationships/footnotes" Target="footnotes.xml"/><Relationship Id="rId29" Type="http://schemas.openxmlformats.org/officeDocument/2006/relationships/chart" Target="charts/chart16.xml"/><Relationship Id="rId28" Type="http://schemas.openxmlformats.org/officeDocument/2006/relationships/chart" Target="charts/chart15.xml"/><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chart" Target="charts/chart11.xml"/><Relationship Id="rId23" Type="http://schemas.openxmlformats.org/officeDocument/2006/relationships/chart" Target="charts/chart10.xml"/><Relationship Id="rId22" Type="http://schemas.openxmlformats.org/officeDocument/2006/relationships/chart" Target="charts/chart9.xml"/><Relationship Id="rId21" Type="http://schemas.openxmlformats.org/officeDocument/2006/relationships/chart" Target="charts/chart8.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20065;&#26449;&#25391;&#20852;&#38382;&#21367;&#32479;&#357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5527203836"/>
          <c:y val="0.0507461567304087"/>
        </c:manualLayout>
      </c:layout>
      <c:overlay val="0"/>
      <c:spPr>
        <a:noFill/>
        <a:ln w="25400">
          <a:noFill/>
        </a:ln>
      </c:spPr>
    </c:title>
    <c:autoTitleDeleted val="0"/>
    <c:plotArea>
      <c:layout/>
      <c:barChart>
        <c:barDir val="col"/>
        <c:grouping val="clustered"/>
        <c:varyColors val="0"/>
        <c:ser>
          <c:idx val="0"/>
          <c:order val="0"/>
          <c:tx>
            <c:strRef>
              <c:f>'1'!$C$47</c:f>
              <c:strCache>
                <c:ptCount val="1"/>
                <c:pt idx="0">
                  <c:v>项目区居民</c:v>
                </c:pt>
              </c:strCache>
            </c:strRef>
          </c:tx>
          <c:spPr>
            <a:solidFill>
              <a:srgbClr val="5B9BD5"/>
            </a:solidFill>
            <a:ln w="25400">
              <a:noFill/>
            </a:ln>
          </c:spPr>
          <c:invertIfNegative val="0"/>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'1'!$D$46:$H$46</c:f>
              <c:strCache>
                <c:ptCount val="5"/>
                <c:pt idx="0">
                  <c:v>非常满意</c:v>
                </c:pt>
                <c:pt idx="1">
                  <c:v>比较满意</c:v>
                </c:pt>
                <c:pt idx="2">
                  <c:v>基本满意</c:v>
                </c:pt>
                <c:pt idx="3">
                  <c:v>不太满意</c:v>
                </c:pt>
                <c:pt idx="4">
                  <c:v>非常不满意</c:v>
                </c:pt>
              </c:strCache>
            </c:strRef>
          </c:cat>
          <c:val>
            <c:numRef>
              <c:f>'1'!$D$47:$H$47</c:f>
              <c:numCache>
                <c:formatCode>General</c:formatCode>
                <c:ptCount val="5"/>
                <c:pt idx="0">
                  <c:v>44</c:v>
                </c:pt>
                <c:pt idx="1">
                  <c:v>41</c:v>
                </c:pt>
                <c:pt idx="2">
                  <c:v>15</c:v>
                </c:pt>
                <c:pt idx="3">
                  <c:v>0</c:v>
                </c:pt>
                <c:pt idx="4">
                  <c:v>0</c:v>
                </c:pt>
              </c:numCache>
            </c:numRef>
          </c:val>
        </c:ser>
        <c:dLbls>
          <c:showLegendKey val="0"/>
          <c:showVal val="0"/>
          <c:showCatName val="0"/>
          <c:showSerName val="0"/>
          <c:showPercent val="0"/>
          <c:showBubbleSize val="0"/>
        </c:dLbls>
        <c:gapWidth val="219"/>
        <c:overlap val="-27"/>
        <c:axId val="1127402592"/>
        <c:axId val="1"/>
      </c:barChart>
      <c:catAx>
        <c:axId val="112740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127402592"/>
        <c:crosses val="autoZero"/>
        <c:crossBetween val="between"/>
      </c:valAx>
      <c:spPr>
        <a:noFill/>
        <a:ln w="25400">
          <a:noFill/>
        </a:ln>
      </c:spPr>
    </c:plotArea>
    <c:legend>
      <c:legendPos val="b"/>
      <c:layout>
        <c:manualLayout>
          <c:xMode val="edge"/>
          <c:yMode val="edge"/>
          <c:x val="0.327001099663624"/>
          <c:y val="0.911156821256374"/>
          <c:w val="0.276441338017738"/>
          <c:h val="0.062411460681952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Sheet6!$C$47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Sheet6!$D$46:$H$46</c:f>
              <c:strCache>
                <c:ptCount val="5"/>
                <c:pt idx="0">
                  <c:v>非常满意</c:v>
                </c:pt>
                <c:pt idx="1">
                  <c:v>比较满意</c:v>
                </c:pt>
                <c:pt idx="2">
                  <c:v>基本满意</c:v>
                </c:pt>
                <c:pt idx="3">
                  <c:v>不太满意</c:v>
                </c:pt>
                <c:pt idx="4">
                  <c:v>非常不满意</c:v>
                </c:pt>
              </c:strCache>
            </c:strRef>
          </c:cat>
          <c:val>
            <c:numRef>
              <c:f>Sheet6!$D$47:$H$47</c:f>
              <c:numCache>
                <c:formatCode>General</c:formatCode>
                <c:ptCount val="5"/>
                <c:pt idx="0">
                  <c:v>38</c:v>
                </c:pt>
                <c:pt idx="1">
                  <c:v>47</c:v>
                </c:pt>
                <c:pt idx="2">
                  <c:v>15</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Sheet7!$C$47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Sheet7!$D$46:$H$46</c:f>
              <c:strCache>
                <c:ptCount val="5"/>
                <c:pt idx="0">
                  <c:v>非常满意</c:v>
                </c:pt>
                <c:pt idx="1">
                  <c:v>比较满意</c:v>
                </c:pt>
                <c:pt idx="2">
                  <c:v>基本满意</c:v>
                </c:pt>
                <c:pt idx="3">
                  <c:v>不太满意</c:v>
                </c:pt>
                <c:pt idx="4">
                  <c:v>非常不满意</c:v>
                </c:pt>
              </c:strCache>
            </c:strRef>
          </c:cat>
          <c:val>
            <c:numRef>
              <c:f>Sheet7!$D$47:$H$47</c:f>
              <c:numCache>
                <c:formatCode>General</c:formatCode>
                <c:ptCount val="5"/>
                <c:pt idx="0">
                  <c:v>39</c:v>
                </c:pt>
                <c:pt idx="1">
                  <c:v>45</c:v>
                </c:pt>
                <c:pt idx="2">
                  <c:v>16</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Sheet8!$C$47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Sheet8!$D$46:$H$46</c:f>
              <c:strCache>
                <c:ptCount val="5"/>
                <c:pt idx="0">
                  <c:v>非常满意</c:v>
                </c:pt>
                <c:pt idx="1">
                  <c:v>比较满意</c:v>
                </c:pt>
                <c:pt idx="2">
                  <c:v>基本满意</c:v>
                </c:pt>
                <c:pt idx="3">
                  <c:v>不太满意</c:v>
                </c:pt>
                <c:pt idx="4">
                  <c:v>非常不满意</c:v>
                </c:pt>
              </c:strCache>
            </c:strRef>
          </c:cat>
          <c:val>
            <c:numRef>
              <c:f>Sheet8!$D$47:$H$47</c:f>
              <c:numCache>
                <c:formatCode>General</c:formatCode>
                <c:ptCount val="5"/>
                <c:pt idx="0">
                  <c:v>40</c:v>
                </c:pt>
                <c:pt idx="1">
                  <c:v>47</c:v>
                </c:pt>
                <c:pt idx="2">
                  <c:v>13</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Sheet9!$C$47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Sheet9!$D$46:$H$46</c:f>
              <c:strCache>
                <c:ptCount val="5"/>
                <c:pt idx="0">
                  <c:v>非常满意</c:v>
                </c:pt>
                <c:pt idx="1">
                  <c:v>比较满意</c:v>
                </c:pt>
                <c:pt idx="2">
                  <c:v>基本满意</c:v>
                </c:pt>
                <c:pt idx="3">
                  <c:v>不太满意</c:v>
                </c:pt>
                <c:pt idx="4">
                  <c:v>非常不满意</c:v>
                </c:pt>
              </c:strCache>
            </c:strRef>
          </c:cat>
          <c:val>
            <c:numRef>
              <c:f>Sheet9!$D$47:$H$47</c:f>
              <c:numCache>
                <c:formatCode>General</c:formatCode>
                <c:ptCount val="5"/>
                <c:pt idx="0">
                  <c:v>37</c:v>
                </c:pt>
                <c:pt idx="1">
                  <c:v>50</c:v>
                </c:pt>
                <c:pt idx="2">
                  <c:v>13</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Sheet10!$C$47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Sheet10!$D$46:$H$46</c:f>
              <c:strCache>
                <c:ptCount val="5"/>
                <c:pt idx="0">
                  <c:v>非常满意</c:v>
                </c:pt>
                <c:pt idx="1">
                  <c:v>比较满意</c:v>
                </c:pt>
                <c:pt idx="2">
                  <c:v>基本满意</c:v>
                </c:pt>
                <c:pt idx="3">
                  <c:v>不太满意</c:v>
                </c:pt>
                <c:pt idx="4">
                  <c:v>非常不满意</c:v>
                </c:pt>
              </c:strCache>
            </c:strRef>
          </c:cat>
          <c:val>
            <c:numRef>
              <c:f>Sheet10!$D$47:$H$47</c:f>
              <c:numCache>
                <c:formatCode>General</c:formatCode>
                <c:ptCount val="5"/>
                <c:pt idx="0">
                  <c:v>40</c:v>
                </c:pt>
                <c:pt idx="1">
                  <c:v>48</c:v>
                </c:pt>
                <c:pt idx="2">
                  <c:v>12</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Sheet2!$C$47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Sheet2!$D$46:$H$46</c:f>
              <c:strCache>
                <c:ptCount val="5"/>
                <c:pt idx="0">
                  <c:v>非常满意</c:v>
                </c:pt>
                <c:pt idx="1">
                  <c:v>比较满意</c:v>
                </c:pt>
                <c:pt idx="2">
                  <c:v>基本满意</c:v>
                </c:pt>
                <c:pt idx="3">
                  <c:v>不太满意</c:v>
                </c:pt>
                <c:pt idx="4">
                  <c:v>非常不满意</c:v>
                </c:pt>
              </c:strCache>
            </c:strRef>
          </c:cat>
          <c:val>
            <c:numRef>
              <c:f>Sheet2!$D$47:$H$47</c:f>
              <c:numCache>
                <c:formatCode>General</c:formatCode>
                <c:ptCount val="5"/>
                <c:pt idx="0">
                  <c:v>40</c:v>
                </c:pt>
                <c:pt idx="1">
                  <c:v>44</c:v>
                </c:pt>
                <c:pt idx="2">
                  <c:v>16</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Sheet3!$C$47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Sheet3!$D$46:$H$46</c:f>
              <c:strCache>
                <c:ptCount val="5"/>
                <c:pt idx="0">
                  <c:v>非常满意</c:v>
                </c:pt>
                <c:pt idx="1">
                  <c:v>比较满意</c:v>
                </c:pt>
                <c:pt idx="2">
                  <c:v>基本满意</c:v>
                </c:pt>
                <c:pt idx="3">
                  <c:v>不太满意</c:v>
                </c:pt>
                <c:pt idx="4">
                  <c:v>非常不满意</c:v>
                </c:pt>
              </c:strCache>
            </c:strRef>
          </c:cat>
          <c:val>
            <c:numRef>
              <c:f>Sheet3!$D$47:$H$47</c:f>
              <c:numCache>
                <c:formatCode>General</c:formatCode>
                <c:ptCount val="5"/>
                <c:pt idx="0">
                  <c:v>39</c:v>
                </c:pt>
                <c:pt idx="1">
                  <c:v>48</c:v>
                </c:pt>
                <c:pt idx="2">
                  <c:v>13</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Sheet4!$C$47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Sheet4!$D$46:$H$46</c:f>
              <c:strCache>
                <c:ptCount val="5"/>
                <c:pt idx="0">
                  <c:v>非常满意</c:v>
                </c:pt>
                <c:pt idx="1">
                  <c:v>比较满意</c:v>
                </c:pt>
                <c:pt idx="2">
                  <c:v>基本满意</c:v>
                </c:pt>
                <c:pt idx="3">
                  <c:v>不太满意</c:v>
                </c:pt>
                <c:pt idx="4">
                  <c:v>非常不满意</c:v>
                </c:pt>
              </c:strCache>
            </c:strRef>
          </c:cat>
          <c:val>
            <c:numRef>
              <c:f>Sheet4!$D$47:$H$47</c:f>
              <c:numCache>
                <c:formatCode>General</c:formatCode>
                <c:ptCount val="5"/>
                <c:pt idx="0">
                  <c:v>34</c:v>
                </c:pt>
                <c:pt idx="1">
                  <c:v>44</c:v>
                </c:pt>
                <c:pt idx="2">
                  <c:v>22</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969696"/>
                      </a:solidFill>
                      <a:prstDash val="solid"/>
                      <a:round/>
                    </a:ln>
                  </c:spPr>
                </c15:leaderLines>
              </c:ext>
            </c:extLst>
          </c:dLbls>
          <c:cat>
            <c:strRef>
              <c:f>'危桥 (2)'!$L$47:$M$47</c:f>
              <c:strCache>
                <c:ptCount val="2"/>
                <c:pt idx="0">
                  <c:v>满意</c:v>
                </c:pt>
                <c:pt idx="1">
                  <c:v>不满意</c:v>
                </c:pt>
              </c:strCache>
            </c:strRef>
          </c:cat>
          <c:val>
            <c:numRef>
              <c:f>'危桥 (2)'!$L$48:$M$48</c:f>
              <c:numCache>
                <c:formatCode>General</c:formatCode>
                <c:ptCount val="2"/>
                <c:pt idx="0">
                  <c:v>100</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302023465015591"/>
          <c:y val="0.829413118383899"/>
          <c:w val="0.395986345723879"/>
          <c:h val="0.123227102536354"/>
        </c:manualLayout>
      </c:layout>
      <c:overlay val="1"/>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endParaRPr lang="zh-CN" altLang="en-US"/>
          </a:p>
        </c:rich>
      </c:tx>
      <c:layout>
        <c:manualLayout>
          <c:xMode val="edge"/>
          <c:yMode val="edge"/>
          <c:x val="0.0491044676584211"/>
          <c:y val="0.0507463910761155"/>
        </c:manualLayout>
      </c:layout>
      <c:overlay val="0"/>
      <c:spPr>
        <a:noFill/>
        <a:ln w="25400">
          <a:noFill/>
        </a:ln>
      </c:spPr>
    </c:title>
    <c:autoTitleDeleted val="0"/>
    <c:plotArea>
      <c:layout/>
      <c:barChart>
        <c:barDir val="col"/>
        <c:grouping val="clustered"/>
        <c:varyColors val="0"/>
        <c:ser>
          <c:idx val="0"/>
          <c:order val="0"/>
          <c:tx>
            <c:strRef>
              <c:f>Sheet5!$C$47</c:f>
              <c:strCache>
                <c:ptCount val="1"/>
                <c:pt idx="0">
                  <c:v>项目区居民</c:v>
                </c:pt>
              </c:strCache>
            </c:strRef>
          </c:tx>
          <c:spPr>
            <a:solidFill>
              <a:srgbClr val="5B9BD5"/>
            </a:solidFill>
            <a:ln w="25400">
              <a:noFill/>
            </a:ln>
          </c:spPr>
          <c:invertIfNegative val="0"/>
          <c:dLbls>
            <c:numFmt formatCode="General" sourceLinked="0"/>
            <c:spPr>
              <a:noFill/>
              <a:ln w="25400">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Sheet5!$D$46:$H$46</c:f>
              <c:strCache>
                <c:ptCount val="5"/>
                <c:pt idx="0">
                  <c:v>非常满意</c:v>
                </c:pt>
                <c:pt idx="1">
                  <c:v>比较满意</c:v>
                </c:pt>
                <c:pt idx="2">
                  <c:v>基本满意</c:v>
                </c:pt>
                <c:pt idx="3">
                  <c:v>不太满意</c:v>
                </c:pt>
                <c:pt idx="4">
                  <c:v>非常不满意</c:v>
                </c:pt>
              </c:strCache>
            </c:strRef>
          </c:cat>
          <c:val>
            <c:numRef>
              <c:f>Sheet5!$D$47:$H$47</c:f>
              <c:numCache>
                <c:formatCode>General</c:formatCode>
                <c:ptCount val="5"/>
                <c:pt idx="0">
                  <c:v>35</c:v>
                </c:pt>
                <c:pt idx="1">
                  <c:v>53</c:v>
                </c:pt>
                <c:pt idx="2">
                  <c:v>12</c:v>
                </c:pt>
                <c:pt idx="3">
                  <c:v>0</c:v>
                </c:pt>
                <c:pt idx="4">
                  <c:v>0</c:v>
                </c:pt>
              </c:numCache>
            </c:numRef>
          </c:val>
        </c:ser>
        <c:dLbls>
          <c:showLegendKey val="0"/>
          <c:showVal val="0"/>
          <c:showCatName val="0"/>
          <c:showSerName val="0"/>
          <c:showPercent val="0"/>
          <c:showBubbleSize val="0"/>
        </c:dLbls>
        <c:gapWidth val="219"/>
        <c:overlap val="-27"/>
        <c:axId val="753969888"/>
        <c:axId val="1"/>
      </c:barChart>
      <c:catAx>
        <c:axId val="75396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753969888"/>
        <c:crosses val="autoZero"/>
        <c:crossBetween val="between"/>
      </c:valAx>
      <c:spPr>
        <a:noFill/>
        <a:ln w="25400">
          <a:noFill/>
        </a:ln>
      </c:spPr>
    </c:plotArea>
    <c:legend>
      <c:legendPos val="b"/>
      <c:layout>
        <c:manualLayout>
          <c:xMode val="edge"/>
          <c:yMode val="edge"/>
          <c:x val="0.327001014619089"/>
          <c:y val="0.911156824146982"/>
          <c:w val="0.276441306905602"/>
          <c:h val="0.0624117454068241"/>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AFD3D-473C-484F-AD0B-94629CA47E0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74</Pages>
  <Words>33005</Words>
  <Characters>34893</Characters>
  <Lines>270</Lines>
  <Paragraphs>76</Paragraphs>
  <TotalTime>5</TotalTime>
  <ScaleCrop>false</ScaleCrop>
  <LinksUpToDate>false</LinksUpToDate>
  <CharactersWithSpaces>35143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2022-02-07T02:50:00Z</dcterms:created>
  <dc:creator>Apache POI</dc:creator>
  <cp:lastModifiedBy>Administrator</cp:lastModifiedBy>
  <dcterms:modified xsi:type="dcterms:W3CDTF">2023-12-13T11:07:42Z</dcterms:modified>
  <cp:revision>467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01CCF925C59B4C968D8C2D7D87D1F2D7</vt:lpwstr>
  </property>
</Properties>
</file>